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53" w:rsidRPr="00551B53" w:rsidRDefault="00551B53" w:rsidP="00551B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Памятки о мерах поддержки субъектов малого и среднего предпринимательства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 wp14:anchorId="4A6D8296" wp14:editId="66379094">
            <wp:extent cx="2381250" cy="847725"/>
            <wp:effectExtent l="0" t="0" r="0" b="9525"/>
            <wp:docPr id="2" name="Рисунок 2" descr="https://sychevka.admin-smolensk.ru/files/198/resize/gosudarstvennaya-podderzhka_250_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chevka.admin-smolensk.ru/files/198/resize/gosudarstvennaya-podderzhka_250_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Кредиты АО «МСП банк» для </w:t>
      </w:r>
      <w:proofErr w:type="spellStart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самозанятых</w:t>
      </w:r>
      <w:proofErr w:type="spellEnd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граждан</w:t>
      </w:r>
    </w:p>
    <w:p w:rsidR="00551B53" w:rsidRPr="00551B53" w:rsidRDefault="00551B53" w:rsidP="00551B53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ED24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Цель кредитования: 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организацию и развитие предпринимательской деятельности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самозанятых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102"/>
        <w:gridCol w:w="2064"/>
        <w:gridCol w:w="2232"/>
      </w:tblGrid>
      <w:tr w:rsidR="00551B53" w:rsidRPr="00551B53" w:rsidTr="00ED2422">
        <w:trPr>
          <w:trHeight w:val="645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Кредит АО «МСП банк»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Процентная ставка</w:t>
            </w:r>
          </w:p>
        </w:tc>
      </w:tr>
      <w:tr w:rsidR="00551B53" w:rsidRPr="00551B53" w:rsidTr="00ED2422">
        <w:trPr>
          <w:trHeight w:val="645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обеспечения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50 тыс. до 1 млн. рублей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7,5% годовых</w:t>
            </w:r>
          </w:p>
        </w:tc>
      </w:tr>
      <w:tr w:rsidR="00551B53" w:rsidRPr="00551B53" w:rsidTr="00ED2422">
        <w:trPr>
          <w:trHeight w:val="645"/>
          <w:tblCellSpacing w:w="0" w:type="dxa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 обеспечения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5 млн. рублей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7,5% годовых</w:t>
            </w:r>
          </w:p>
        </w:tc>
      </w:tr>
    </w:tbl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Требования к Заемщику:</w:t>
      </w:r>
    </w:p>
    <w:p w:rsidR="00551B53" w:rsidRPr="00551B53" w:rsidRDefault="00551B53" w:rsidP="00ED24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физическое лицо, в том числе индивидуальный предприниматель, применяющее специальный налоговый режим «Налог на профессиональный доход»;</w:t>
      </w:r>
    </w:p>
    <w:p w:rsidR="00551B53" w:rsidRPr="00551B53" w:rsidRDefault="00551B53" w:rsidP="00ED24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заявляемый доход от текущей деятельности покрывает расходы на обслуживание и погашение кредита;</w:t>
      </w:r>
    </w:p>
    <w:p w:rsidR="00551B53" w:rsidRPr="00551B53" w:rsidRDefault="00551B53" w:rsidP="00ED242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у Заемщика отрицательной кредитной истории.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Расчетный счет для оформления кредита может быть открыт 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 любом банке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Льготное кредитование для субъектов малого и среднего предпринимательства и </w:t>
      </w:r>
      <w:proofErr w:type="spellStart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самозанятых</w:t>
      </w:r>
      <w:proofErr w:type="spellEnd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гражданв</w:t>
      </w:r>
      <w:proofErr w:type="spellEnd"/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рамках Программы Минэкономразвития России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Льготная конечная </w:t>
      </w:r>
      <w:proofErr w:type="spellStart"/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ставка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определяется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ключевая ставка Банка России (действующая на дату заключения договора), увеличенная не более чем на 2,75 процентных пункта. С учетом нынешней ставки Банка России предельная ставка по кредиту будет составлять 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7,25 %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(в соответствии с Постановлением Правительства РФ от 30.12.2018 № 1764).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Льготные кредиты можно взять в рублях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РФ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</w:t>
      </w:r>
      <w:proofErr w:type="spellEnd"/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конкретные цели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инвестиционные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(например, покупка нового оборудования или помещения, реконструкция производства) - в размере от 500 тысяч до 2 миллиардов рублей сроком до 10 лет;</w:t>
      </w:r>
    </w:p>
    <w:p w:rsidR="00551B53" w:rsidRPr="00551B53" w:rsidRDefault="00551B53" w:rsidP="00B1623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на пополнение оборотных </w:t>
      </w:r>
      <w:proofErr w:type="spellStart"/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средств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размере от 500 тысяч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до500миллионов рублей сроком до 3 лет;</w:t>
      </w:r>
    </w:p>
    <w:p w:rsidR="00551B53" w:rsidRPr="00551B53" w:rsidRDefault="00551B53" w:rsidP="00B1623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 рефинансирование кредитов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51B53" w:rsidRPr="00551B53" w:rsidRDefault="00551B53" w:rsidP="00B1623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 развитие предпринимательской деятельности 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размере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до 10 миллионов рублей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срокомдо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5 лет (по ставке, не превышающей 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9,95%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годовых).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число заемщиков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включенысубъекты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малого и среднего предпринимательства и физические лица, применяющие специальный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налоговый режим «Налог на профессиональный доход</w:t>
      </w: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т.е.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самозанятые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Имеется возможность заключать кредитные договоры (соглашения) с применением расчетов по отзывным или безотзывным аккредитивам.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Как получить деньги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погоспрограмме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?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Убедитесь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что ваш бизнес внесен в </w:t>
      </w:r>
      <w:hyperlink r:id="rId7" w:tgtFrame="_blank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Единый реестр субъектов малого</w:t>
        </w:r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br/>
        </w:r>
        <w:proofErr w:type="spellStart"/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исреднего</w:t>
        </w:r>
        <w:proofErr w:type="spellEnd"/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 xml:space="preserve"> предпринимательства</w:t>
        </w:r>
      </w:hyperlink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Информация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вэтот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реестр должна попадать автоматически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наосновании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сведений ЕГРЮЛ, ЕГРИП и данных налогового учета,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нолучше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проверить это перед походом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вбанк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Проверьте 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</w:t>
      </w:r>
      <w:hyperlink r:id="rId8" w:tgtFrame="_blank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ОКВЭД</w:t>
        </w:r>
      </w:hyperlink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профиль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вашего бизнеса – соответствует ли </w:t>
      </w: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  перечню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приоритетных отраслей 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(приложение к памятке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).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Причем он может быть, как основным профилем вашей работы, так и дополнительным.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Плюс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кэтому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есть еще несколько общих обязательных требований к потенциальным Заемщикам:</w:t>
      </w:r>
    </w:p>
    <w:p w:rsidR="00551B53" w:rsidRPr="00551B53" w:rsidRDefault="00551B53" w:rsidP="00B1623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заемщик не относится к предприятию игорного бизнеса, не является нерезидентом Российской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Федерации,не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является кредитной, страховой организацией(за исключением потребительских кооперативов), инвестиционным, негосударственным пенсионным фондом, профессиональным участником рынка ценных бумаг, ломбардом, участником соглашений о разделе продукции, предприятием, осуществляющим производство и (или) реализацию </w:t>
      </w:r>
      <w:hyperlink r:id="rId9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подакцизных</w:t>
        </w:r>
      </w:hyperlink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товаров, а также добычу и (или) реализацию полезных ископаемых, за исключением </w:t>
      </w:r>
      <w:hyperlink r:id="rId10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общераспространенных</w:t>
        </w:r>
      </w:hyperlink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полезных ископаемых;</w:t>
      </w:r>
    </w:p>
    <w:p w:rsidR="00551B53" w:rsidRPr="00551B53" w:rsidRDefault="00551B53" w:rsidP="00B1623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бизнес должен быть зарегистрирован на территории России;</w:t>
      </w:r>
    </w:p>
    <w:p w:rsidR="00551B53" w:rsidRPr="00551B53" w:rsidRDefault="00551B53" w:rsidP="00B1623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Обратитесь </w:t>
      </w:r>
      <w:proofErr w:type="spellStart"/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вбанк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</w:t>
      </w:r>
      <w:hyperlink r:id="rId11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участник Программы Минэкономразвития</w:t>
        </w:r>
      </w:hyperlink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Приложение</w:t>
      </w:r>
    </w:p>
    <w:p w:rsidR="00551B53" w:rsidRPr="00551B53" w:rsidRDefault="00551B53" w:rsidP="00551B53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Приоритетные отрасли</w:t>
      </w:r>
    </w:p>
    <w:p w:rsidR="00551B53" w:rsidRPr="00551B53" w:rsidRDefault="00551B53" w:rsidP="00B162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B162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 льготные кредиты и займы могут рассчитывать предприниматели и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самозанятые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граждане, которые работают в приоритетных для государства направлениях: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Сельское хозяйство и услуги в этой области.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Производство и распределение электроэнергии, газа и воды.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Строительство.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области информации и связи.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Транспортировка и хранение.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области здравоохранения.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области образования.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гостиниц и предприятий общественного питания (за исключением ресторанов).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области культуры, спорта.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профессиональная, научная и техническая.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сфере бытовых услуг.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Деятельность в сфере розничной торговли на территории моногородов.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51B53" w:rsidRPr="00551B53" w:rsidRDefault="00551B53" w:rsidP="00B1623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Деятельность в сфере розничной торговли при условии, что субъект малого предпринимательства является </w:t>
      </w:r>
      <w:proofErr w:type="spell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микропредприятием</w:t>
      </w:r>
      <w:proofErr w:type="spell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(за исключением случаев, указанных в </w:t>
      </w:r>
      <w:hyperlink r:id="rId12" w:history="1">
        <w:r w:rsidRPr="00551B53">
          <w:rPr>
            <w:rFonts w:ascii="Tahoma" w:eastAsia="Times New Roman" w:hAnsi="Tahoma" w:cs="Tahoma"/>
            <w:color w:val="348300"/>
            <w:sz w:val="21"/>
            <w:szCs w:val="21"/>
            <w:u w:val="single"/>
            <w:lang w:eastAsia="ru-RU"/>
          </w:rPr>
          <w:t>пунктах 15</w:t>
        </w:r>
      </w:hyperlink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- 16 настоящего приложения).</w:t>
      </w:r>
    </w:p>
    <w:p w:rsidR="00551B53" w:rsidRPr="00551B53" w:rsidRDefault="00551B53" w:rsidP="00B162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Банки - участники программы Минэкономразвития</w:t>
      </w:r>
    </w:p>
    <w:p w:rsidR="00551B53" w:rsidRPr="00551B53" w:rsidRDefault="00551B53" w:rsidP="00B1623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920"/>
        <w:gridCol w:w="635"/>
        <w:gridCol w:w="4190"/>
      </w:tblGrid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«Сбербанк России»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РОСБАНК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ВТБ (ПАО)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«АЛЬФА-БАНК»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«Промсвязьбанк»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«Банк «Санкт-Петербург»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Россельхозбанк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«СДМ-Банк» (ПАО)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«Райффайзенбанк»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«БАНК УРАЛСИБ»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АБ «РОССИЯ»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ПТБ (ООО)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Банк «ФК Открытие»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Роял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Кредит Банк»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«МСП 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КБ «САММИТ БАНК»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«Газпромбанк»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Солид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Москоммерцбанк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Транскапиталбанк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«МТС-Банк»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«Азиатско-Тихоокеанский Банк» (ПАО)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«МОСКОВСКИЙ КРЕДИТНЫЙ 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«Банк Акцепт»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Совкомбанк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Алтайкапиталбанк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«Возрождение» (ПАО)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Интерпрогрессбанк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551B53">
        <w:trPr>
          <w:trHeight w:val="90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«ВЛАДБИЗНЕСБАНК»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«КОШЕЛЕВ-БАНК»</w:t>
            </w:r>
          </w:p>
        </w:tc>
      </w:tr>
      <w:tr w:rsidR="00551B53" w:rsidRPr="00551B53" w:rsidTr="00551B53">
        <w:trPr>
          <w:trHeight w:val="96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«БАНК «ВОЛОГЖАНИН»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Кузнецкбизнесбанк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551B53">
        <w:trPr>
          <w:trHeight w:val="96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«Банк ДОМ.РФ»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Банк «Саратов»</w:t>
            </w:r>
          </w:p>
        </w:tc>
      </w:tr>
      <w:tr w:rsidR="00551B53" w:rsidRPr="00551B53" w:rsidTr="00551B53">
        <w:trPr>
          <w:trHeight w:val="96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Ланта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-Банк» (АО)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«САРОВБИЗНЕСБАНК»</w:t>
            </w:r>
          </w:p>
        </w:tc>
      </w:tr>
      <w:tr w:rsidR="00551B53" w:rsidRPr="00551B53" w:rsidTr="00551B53">
        <w:trPr>
          <w:trHeight w:val="96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«ГЕНБАНК»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«ИТУРУП» (ООО)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АО </w:t>
            </w:r>
            <w:proofErr w:type="gram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КИБ«</w:t>
            </w:r>
            <w:proofErr w:type="gram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ЕВРОАЛЬЯНС»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БАНК «СИАБ»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АО «Банк 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Интеза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«СИБСОЦБАНК» ООО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Банк «Кузнецкий»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ПАО 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Ставропольпромстройбанк</w:t>
            </w:r>
            <w:proofErr w:type="spellEnd"/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АО Банк 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Сургутнефтегазбанк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Томскпромстройбанк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«Долинск» (АО)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КБ «Центр-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Банк «Национальный     стандарт»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«ЧЕЛЯБИНВЕСТБАНК»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«НБД-Банк»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банк «Элита»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Нефтепромбанк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«ЭНЕРГОТРАНСБАНК» (АО)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«НИКО-БАНК»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«Левобережный» (ПАО)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«БАНК ОРЕНБУРГ»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«ЖИВАГО БАНК»</w:t>
            </w:r>
          </w:p>
        </w:tc>
      </w:tr>
      <w:tr w:rsidR="00551B53" w:rsidRPr="00551B53" w:rsidTr="00551B53">
        <w:trPr>
          <w:trHeight w:val="57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СКБ Приморья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Примсоцбанк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Банк Зенит</w:t>
            </w:r>
          </w:p>
        </w:tc>
      </w:tr>
      <w:tr w:rsidR="00551B53" w:rsidRPr="00551B53" w:rsidTr="00811A40">
        <w:trPr>
          <w:trHeight w:val="553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-Внешторгбанк (ПАО)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«Реалист Банк»</w:t>
            </w:r>
          </w:p>
        </w:tc>
      </w:tr>
    </w:tbl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36"/>
      </w:tblGrid>
      <w:tr w:rsidR="00551B53" w:rsidRPr="00551B53" w:rsidTr="00811A40">
        <w:trPr>
          <w:trHeight w:val="9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«НООСФЕРА» (АО)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«Кубань Кредит» ООО</w:t>
            </w:r>
          </w:p>
        </w:tc>
      </w:tr>
      <w:tr w:rsidR="00551B53" w:rsidRPr="00551B53" w:rsidTr="00811A40">
        <w:trPr>
          <w:trHeight w:val="96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«Гарант-Инвест» (АО)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(ПАО)</w:t>
            </w:r>
          </w:p>
        </w:tc>
      </w:tr>
      <w:tr w:rsidR="00551B53" w:rsidRPr="00551B53" w:rsidTr="00811A40">
        <w:trPr>
          <w:trHeight w:val="96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«Дальневосточный 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Углеметбанк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811A40">
        <w:trPr>
          <w:trHeight w:val="96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 «Калуга»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«СМП Банк»</w:t>
            </w:r>
          </w:p>
        </w:tc>
      </w:tr>
      <w:tr w:rsidR="00551B53" w:rsidRPr="00551B53" w:rsidTr="00811A40">
        <w:trPr>
          <w:trHeight w:val="96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МОРСКОЙ БАНК (АО)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РНКБ Банк (ПАО)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Снежинский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Примтеркомбанк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«Банк Стандарт-Кредит»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Экспобанк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«СТРОЙЛЕСБАНК» (ООО)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Алмазэргиэнбанк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АО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«Хакасский муниципальный 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«Фора-Банк» (АО)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«Юг-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Автоградбанк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«АК БАРС» БАНК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«Банк СГБ»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АКБ «АКТИВ БАНК» (ПАО)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Байкалкредобанк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(ПАО)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Акибанк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Банк «Северный морской путь» (СМП)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«Камский коммерческий банк»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Газтрансбанк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КБ «Хлынов»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«Руна - 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АИКБ «Енисейский объединенный банк»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 «Новый Век»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«Меткомбанк»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Банк «ВЕНЕЦ»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«Банк ЧБРР»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Братский АНКБ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Майкопбанк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КБ «Спутник» (ПАО)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УКБ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Норвик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РосДорБанк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«ПЕРВОУРАЛЬСКБАНК»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 «Мегаполис»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ПАО МИБ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Далена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КБЭР «Банк Казани»</w:t>
            </w:r>
          </w:p>
        </w:tc>
      </w:tr>
      <w:tr w:rsidR="00551B53" w:rsidRPr="00551B53" w:rsidTr="00811A40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ИКБР «ЯРИНТЕРБАНК»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DF31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80"/>
          <w:sz w:val="21"/>
          <w:szCs w:val="21"/>
          <w:shd w:val="clear" w:color="auto" w:fill="AFEEEE"/>
          <w:lang w:eastAsia="ru-RU"/>
        </w:rPr>
        <w:t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DF31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Как получить новый льготный кредит по ставке 3%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Кто может получить кредит?</w:t>
      </w:r>
    </w:p>
    <w:p w:rsidR="00551B53" w:rsidRPr="00551B53" w:rsidRDefault="00551B53" w:rsidP="00DF31C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 </w:t>
      </w: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получившие ранее кредиты по программе ФОТ 2.0,</w:t>
      </w: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рамках которой они должны до 1 марта сохранять численность работников.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На что можно взять кредит?</w:t>
      </w:r>
    </w:p>
    <w:p w:rsidR="00551B53" w:rsidRPr="00551B53" w:rsidRDefault="00551B53" w:rsidP="00DF31C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По какому ОКВЭД можно получить кредит?</w:t>
      </w:r>
    </w:p>
    <w:p w:rsidR="00551B53" w:rsidRPr="00551B53" w:rsidRDefault="00551B53" w:rsidP="00DF31C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Микро-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551B53" w:rsidRPr="00551B53" w:rsidRDefault="00551B53" w:rsidP="00DF31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DF31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Список ОКВЭД наименее восстановившихся отраслей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550"/>
      </w:tblGrid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ОКВЭД 2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Гостиничный бизнес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59.14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82.3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86.90.4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музеев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91.02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зоопарков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91.04.1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551B53" w:rsidRPr="00551B53" w:rsidTr="00C26733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96.04</w:t>
            </w:r>
          </w:p>
        </w:tc>
      </w:tr>
    </w:tbl>
    <w:p w:rsidR="00551B53" w:rsidRPr="00551B53" w:rsidRDefault="00551B53" w:rsidP="00551B53">
      <w:pPr>
        <w:spacing w:after="0" w:line="240" w:lineRule="auto"/>
        <w:ind w:left="214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Период выдачи кредитов</w:t>
      </w:r>
    </w:p>
    <w:p w:rsidR="00551B53" w:rsidRPr="00551B53" w:rsidRDefault="00551B53" w:rsidP="00C2673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9 марта по 1 июля 2021 года.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lastRenderedPageBreak/>
        <w:t>На какой срок можно взять кредит?</w:t>
      </w:r>
    </w:p>
    <w:p w:rsidR="00551B53" w:rsidRPr="00551B53" w:rsidRDefault="00551B53" w:rsidP="00C2673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более 12 месяцев.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Максимальная сумма кредита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млн рублей.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Как выплачивать кредит?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В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течение первых 6 месяцев отсутствуют выплаты по основному долгу и процентам.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В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течение последующих 6 месяцев происходит погашение кредита равными долями ежемесячно, а также выплата процентов.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ВАЖНО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Условия получения кредита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В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НКО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Компания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Предприниматель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  Компания</w:t>
      </w:r>
      <w:proofErr w:type="gramEnd"/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Где можно взять кредит?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Предприниматель самостоятельно выбирает банк из числа участников программы.</w:t>
      </w:r>
    </w:p>
    <w:p w:rsidR="00551B53" w:rsidRPr="00551B53" w:rsidRDefault="00551B53" w:rsidP="00C267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1B53" w:rsidRPr="00551B53" w:rsidRDefault="00551B53" w:rsidP="00C267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Перечень российских кредитных организаций</w:t>
      </w:r>
    </w:p>
    <w:p w:rsidR="00551B53" w:rsidRPr="00551B53" w:rsidRDefault="00551B53" w:rsidP="00C267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для заключения соглашений о предоставлении субсидии из федерального      бюджета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14"/>
      </w:tblGrid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ПАО Сбербанк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 ПАО «ЧЕЛИНДБАНК»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АО «МСП Банк»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 ПАО «Ак Барс» Банк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Банк ГПБ (АО)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 РНКБ Банк «ПАО»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ПАО «Промсвязьбанк»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 АО КБ «Хлынов»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ПАО Банк «ФК Открытие»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 ООО КБ «Кубань Кредит»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АО «Райффайзенбанк»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 АО «Банк Акцепт»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 АО «АБ «РОССИЯ»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 АО АИКБ «Енисейский объединенный банк»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Банк ВТБ (ПАО)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 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Россельхозбанк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 ПАО «ЧЕЛЯБИНВЕСТБАНК»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ПАО РОСБАНК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 ПАО «Банк «Санкт-Петербург»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ПАО «</w:t>
            </w:r>
            <w:proofErr w:type="spellStart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Совкомбанк</w:t>
            </w:r>
            <w:proofErr w:type="spellEnd"/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 Банк «КУБ» (АО)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«СДМ-Банк» (ПАО)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 КБ «ЭНЕРГОТРАНСБАНК» (АО)</w:t>
            </w:r>
          </w:p>
        </w:tc>
      </w:tr>
      <w:tr w:rsidR="00551B53" w:rsidRPr="00551B53" w:rsidTr="00551B53">
        <w:trPr>
          <w:trHeight w:val="645"/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АО «БАНК СГБ»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51B53" w:rsidRPr="00551B53" w:rsidRDefault="00551B53" w:rsidP="005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B53" w:rsidRPr="00551B53" w:rsidRDefault="00551B53" w:rsidP="00551B5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1B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30200" w:rsidRDefault="00130200"/>
    <w:sectPr w:rsidR="00130200" w:rsidSect="00811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306B"/>
    <w:multiLevelType w:val="multilevel"/>
    <w:tmpl w:val="559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0C78"/>
    <w:multiLevelType w:val="multilevel"/>
    <w:tmpl w:val="32A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975E6"/>
    <w:multiLevelType w:val="multilevel"/>
    <w:tmpl w:val="96C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4E83"/>
    <w:multiLevelType w:val="multilevel"/>
    <w:tmpl w:val="896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35C85"/>
    <w:multiLevelType w:val="multilevel"/>
    <w:tmpl w:val="45E8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93C9F"/>
    <w:multiLevelType w:val="multilevel"/>
    <w:tmpl w:val="A22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27EDC"/>
    <w:multiLevelType w:val="multilevel"/>
    <w:tmpl w:val="156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92010"/>
    <w:multiLevelType w:val="multilevel"/>
    <w:tmpl w:val="85C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25D9B"/>
    <w:multiLevelType w:val="multilevel"/>
    <w:tmpl w:val="98BC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9"/>
    <w:rsid w:val="00130200"/>
    <w:rsid w:val="00551B53"/>
    <w:rsid w:val="00811A40"/>
    <w:rsid w:val="00B16232"/>
    <w:rsid w:val="00C26733"/>
    <w:rsid w:val="00D34F59"/>
    <w:rsid w:val="00DF31C4"/>
    <w:rsid w:val="00E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3863-776C-4DE2-8EDD-A1BAA71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1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9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9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7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93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conomy.gov.ru/material/file/8ad5631fc507ba91892c9839ea5783ce/banki_uchastniki_programmy_1764_7,25.pdf" TargetMode="External"/><Relationship Id="rId5" Type="http://schemas.openxmlformats.org/officeDocument/2006/relationships/hyperlink" Target="https://sychevka.admin-smolensk.ru/files/198/gosudarstvennaya-podderzhka.jpg" TargetMode="External"/><Relationship Id="rId10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7</cp:revision>
  <dcterms:created xsi:type="dcterms:W3CDTF">2021-08-19T11:47:00Z</dcterms:created>
  <dcterms:modified xsi:type="dcterms:W3CDTF">2021-08-19T11:57:00Z</dcterms:modified>
</cp:coreProperties>
</file>