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8E" w:rsidRPr="00EB0C8E" w:rsidRDefault="00EB0C8E" w:rsidP="00EB0C8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регистрации в Едином реестре субъектов малого и среднего предпринимательства</w:t>
      </w:r>
    </w:p>
    <w:p w:rsidR="00EB0C8E" w:rsidRPr="00EB0C8E" w:rsidRDefault="00EB0C8E" w:rsidP="00EB0C8E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реестр МСП – это база данных о субъектах МСП, размещенная в открытом доступе (сайт Федеральной налоговой службы </w:t>
      </w:r>
      <w:hyperlink r:id="rId5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rmsp.nalog.ru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 обращении к которой можно подтвердить принадлежность хозяйствующего субъекта к категории малого или среднего предпринимательства.</w:t>
      </w:r>
    </w:p>
    <w:p w:rsidR="00EB0C8E" w:rsidRPr="00EB0C8E" w:rsidRDefault="00EB0C8E" w:rsidP="00EB0C8E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реестр МСП создан в соответствии с Федеральным законом от 29.12.2015 № 408-ФЗ «О внесении изменений в отдельные законодательные акты Российской Федерации».</w:t>
      </w:r>
    </w:p>
    <w:p w:rsidR="00EB0C8E" w:rsidRPr="00EB0C8E" w:rsidRDefault="00EB0C8E" w:rsidP="00EB0C8E">
      <w:pPr>
        <w:spacing w:after="24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Преимущества нахождения в Едином реестре МСП:</w:t>
      </w:r>
    </w:p>
    <w:p w:rsidR="00EB0C8E" w:rsidRPr="00EB0C8E" w:rsidRDefault="00EB0C8E" w:rsidP="00EB0C8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 Льготные кредиты в рамках Программы Минэкономразвития России (постановление Правительства РФ от 30.12.2018 № 1764).</w:t>
      </w:r>
    </w:p>
    <w:p w:rsidR="00EB0C8E" w:rsidRPr="00EB0C8E" w:rsidRDefault="00EB0C8E" w:rsidP="00EB0C8E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Льготный кредит можно взять в рублях РФ</w:t>
      </w: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 конкретные цели:</w:t>
      </w:r>
    </w:p>
    <w:p w:rsidR="00EB0C8E" w:rsidRPr="00EB0C8E" w:rsidRDefault="00EB0C8E" w:rsidP="00EB0C8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инвестиционные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покупка нового оборудования или помещения, реконструкция производства) -  в размере от 500 тысяч до 1 миллиарда рублей сроком до 10 лет и до 2 миллиардов рублей, если Заемщик осуществляет деятельность в таких приоритетных отраслях как туристская деятельность и деятельность гостиниц и предприятий общественного питания (за исключением ресторанов);</w:t>
      </w:r>
    </w:p>
    <w:p w:rsidR="00EB0C8E" w:rsidRPr="00EB0C8E" w:rsidRDefault="00EB0C8E" w:rsidP="00EB0C8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пополнение оборотных средств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размере от 500 тысяч до 500 миллионов рублей сроком до 3-х лет.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Льготная конечная ставка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заемщика в рамках программы не превысит предельное значение </w:t>
      </w: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8,5% годовых.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льготные кредиты и займы могут рассчитывать предприниматели, которые работают </w:t>
      </w: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приоритетных для государства направлениях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0C8E" w:rsidRPr="00EB0C8E" w:rsidRDefault="00EB0C8E" w:rsidP="00EB0C8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хозяйство и услуги в этой области.</w:t>
      </w:r>
    </w:p>
    <w:p w:rsidR="00EB0C8E" w:rsidRPr="00EB0C8E" w:rsidRDefault="00EB0C8E" w:rsidP="00EB0C8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EB0C8E" w:rsidRPr="00EB0C8E" w:rsidRDefault="00EB0C8E" w:rsidP="00EB0C8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Производство и распределение электроэнергии, газа и воды.</w:t>
      </w:r>
    </w:p>
    <w:p w:rsidR="00EB0C8E" w:rsidRPr="00EB0C8E" w:rsidRDefault="00EB0C8E" w:rsidP="00EB0C8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Строительство.</w:t>
      </w:r>
    </w:p>
    <w:p w:rsidR="00EB0C8E" w:rsidRPr="00EB0C8E" w:rsidRDefault="00EB0C8E" w:rsidP="00EB0C8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Туристская деятельность и деятельность в области туристской индустрии в целях развития внутреннего и въездного туризма.</w:t>
      </w:r>
    </w:p>
    <w:p w:rsidR="00EB0C8E" w:rsidRPr="00EB0C8E" w:rsidRDefault="00EB0C8E" w:rsidP="00EB0C8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в области информации и связи.</w:t>
      </w:r>
    </w:p>
    <w:p w:rsidR="00EB0C8E" w:rsidRPr="00EB0C8E" w:rsidRDefault="00EB0C8E" w:rsidP="00EB0C8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Транспортировка и хранение.</w:t>
      </w:r>
    </w:p>
    <w:p w:rsidR="00EB0C8E" w:rsidRPr="00EB0C8E" w:rsidRDefault="00EB0C8E" w:rsidP="00EB0C8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в области здравоохранения.</w:t>
      </w:r>
    </w:p>
    <w:p w:rsidR="00EB0C8E" w:rsidRPr="00EB0C8E" w:rsidRDefault="00EB0C8E" w:rsidP="00EB0C8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в области образования.</w:t>
      </w:r>
    </w:p>
    <w:p w:rsidR="00EB0C8E" w:rsidRPr="00EB0C8E" w:rsidRDefault="00EB0C8E" w:rsidP="00EB0C8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Водоснабжение, водоотведение, организация сбора, обработки и утилизации отходов, в том числе отсортированных материалов, а также 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EB0C8E" w:rsidRPr="00EB0C8E" w:rsidRDefault="00EB0C8E" w:rsidP="00EB0C8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гостиниц и предприятий общественного питания (за исключением ресторанов).</w:t>
      </w:r>
    </w:p>
    <w:p w:rsidR="00EB0C8E" w:rsidRPr="00EB0C8E" w:rsidRDefault="00EB0C8E" w:rsidP="00EB0C8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в области культуры, спорта.</w:t>
      </w:r>
    </w:p>
    <w:p w:rsidR="00EB0C8E" w:rsidRPr="00EB0C8E" w:rsidRDefault="00EB0C8E" w:rsidP="00EB0C8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профессиональная, научная и техническая.</w:t>
      </w:r>
    </w:p>
    <w:p w:rsidR="00EB0C8E" w:rsidRPr="00EB0C8E" w:rsidRDefault="00EB0C8E" w:rsidP="00EB0C8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в сфере бытовых услуг.</w:t>
      </w:r>
    </w:p>
    <w:p w:rsidR="00EB0C8E" w:rsidRPr="00EB0C8E" w:rsidRDefault="00EB0C8E" w:rsidP="00EB0C8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в сфере розничной торговли на территории моногородов.</w:t>
      </w:r>
    </w:p>
    <w:p w:rsidR="00EB0C8E" w:rsidRPr="00EB0C8E" w:rsidRDefault="00EB0C8E" w:rsidP="00EB0C8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Получение налоговых льгот по уплате налога на имущество организаций и транспортного налога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 Смоленской области от 30.11.2011 № 114-з «О налоговых льготах», от 14.11.2019 № 113-з «Об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доходы» установлены налоговые льготы по уплате налога на имущество организаций, транспортного налога, а также льготная процентная ставка по упрощенной системе налогообложения (доходы) в размере 4,5% для налогоплательщиков, осуществляющих предпринимательскую деятельность в сфере информационных технологий.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условий предоставления указанных льгот является наличие налогоплательщика в едином реестре субъектов малого и среднего предпринимательства сведений об указанном налогоплательщике по состоянию на 1 января года, следующего за налоговым периодом, за который налогоплательщик заявил налоговую льготу.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3. Получение поддержки в организациях инфраструктуры поддержки субъектов малого и среднего предпринимательства: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Актуальная информация о системе мер государственной поддержки на территории региона размещена на Инвестиционном портале Смоленской области (</w:t>
      </w:r>
      <w:hyperlink r:id="rId6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https://smolinvest.com/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сайте Департамента инвестиционного развития Смоленской области (</w:t>
      </w:r>
      <w:hyperlink r:id="rId7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https://dep.smolinvest.com/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«Мой бизнес»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(город Смоленске ул. </w:t>
      </w:r>
      <w:proofErr w:type="spellStart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Тенишевой</w:t>
      </w:r>
      <w:proofErr w:type="spellEnd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15, 8 этаж,</w:t>
      </w:r>
      <w:r w:rsidR="0085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http://cpp67.ru/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Единый телефон поддержки: </w:t>
      </w: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 (4812) 638-038.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поддержки предпринимательства Смоленской области 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 оказывает субъектам МСП комплекс информационно-консультационных услуг: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финансовое планирование;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оптимизация налогообложения;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маркетинговое сопровождение деятельности и бизнес-планирование;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правовое обеспечение деятельности;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-информационное сопровождение деятельности;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-консультационные услуги по подбору персонала, по вопросам применения трудового законодательства;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-содействие в регистрации в Роспатенте объектов интеллектуальной собственности (товарный знак, промышленный образец, полезная модель/изобретение, фирменное наименование);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по упаковке франшиз;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содействие по изготовлению сертификата ключа проверки электронной подписи для системы Электронные торги;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 по вопросам сертификации товаров, работ, услуг.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субъектам МСП предоставляются следующие услуги: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специальных программ обучения;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семинаров, конференций, форумов, круглых столов;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участия в форумах, выставках, бизнес-миссиях в целях продвижения своей продукции и обмена опытом.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поддержки экспорта Смоленской области 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http://export67.com/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консультационную и финансовую поддержку субъектам МСП, заинтересованным в продаже своих товаров и услуг компаниям из ближнего и дальнего зарубежья, по следующим направлениям: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 по возможностям и требованиям российских и зарубежных рынков;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потенциальных деловых партнеров за рубежом;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участия предприятий Смоленской области в международных и межрегиональных бизнес-миссиях, выставках, </w:t>
      </w:r>
      <w:proofErr w:type="spellStart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конгрессных</w:t>
      </w:r>
      <w:proofErr w:type="spellEnd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мероприятиях;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обучающих семинаров, конференций, круглых столов;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и (или) модернизация сайта </w:t>
      </w:r>
      <w:proofErr w:type="spellStart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экспортно</w:t>
      </w:r>
      <w:proofErr w:type="spellEnd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ориентированного субъекта МСП и информационно-телекоммуникационной сети «Интернет»;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 проведении маркетинговых исследований, приведении товаров (работ, услуг) в соответствие с требованиями, необходимыми для экспорта товаров (работ, услуг);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 размещении субъектов МСП на международных торговых площадках;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субъектам МСП в получении финансовых услуг АО «РЭЦ».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</w:t>
      </w:r>
      <w:proofErr w:type="spellStart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микрозаймов</w:t>
      </w:r>
      <w:proofErr w:type="spellEnd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поручительств </w:t>
      </w: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микрокредитной</w:t>
      </w:r>
      <w:proofErr w:type="spellEnd"/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компании «Смоленский областной фонд поддержки предпринимательства»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льготным процентным ставкам.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Микрофинансирование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Сумма займа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 3 млн. рублей; до 200 тыс. рублей без залогового обеспечения.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 займа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36 месяцев для заемщиков, основным видов экономической деятельности которых являются сельское хозяйство, обрабатывающее производство, туризм%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 24 месяцев для заемщиков, осуществляющих иные виды деятельности.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Процентная ставка: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5% годовых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заемщиков, осуществляющих деятельность в области туризма;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10% годовых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заемщиков, осуществляющих деятельность в области торговли;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8%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годовых для заемщиков, осуществляющих иные виды экономической деятельности.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Предоставление поручительств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кредитным договорам, договорам о предоставлении банковской гарантии: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Максимальная сумма поручительств: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25 млн. рублей по одному заявителю.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Размер поручительств: 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превышать 50% от суммы обязательств заемщика (в рамках продукта «</w:t>
      </w:r>
      <w:proofErr w:type="spellStart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Согарантия</w:t>
      </w:r>
      <w:proofErr w:type="spellEnd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до70% от суммы кредитных обязательств).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Льготный лизинг оборудования 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(партнер АО «РЛК Ярославской области»):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Процентная ставка: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6% годовых 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российского оборудования;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8% годовых 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иностранного оборудования.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Сумма финансирования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 5 до 200 млн. рублей.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Срок: 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лет.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Авансовый платеж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 15%.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6. Получение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EB0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имущественной поддержки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малого и среднего предпринимательства Смоленской области, включенные в Реестр субъектов МСП</w:t>
      </w:r>
      <w:bookmarkStart w:id="1" w:name="_ednref1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"https://sychevka.admin-smolensk.ru/news/preimuschestva-registracii-v-edinom-reestre-subektov-malogo-i-srednego-predprinimatelstva/" \l "_edn1" \o "" </w:instrTex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B0C8E">
        <w:rPr>
          <w:rFonts w:ascii="Times New Roman" w:eastAsia="Times New Roman" w:hAnsi="Times New Roman" w:cs="Times New Roman"/>
          <w:color w:val="348300"/>
          <w:sz w:val="28"/>
          <w:szCs w:val="28"/>
          <w:u w:val="single"/>
          <w:vertAlign w:val="superscript"/>
          <w:lang w:eastAsia="ru-RU"/>
        </w:rPr>
        <w:t>[i]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пользуются </w:t>
      </w: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преимущественным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правом получения имущественной поддержки со стороны органов государственной власти и органов местного самоуправления.</w:t>
      </w:r>
      <w:bookmarkStart w:id="2" w:name="_ednref2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"https://sychevka.admin-smolensk.ru/news/preimuschestva-registracii-v-edinom-reestre-subektov-malogo-i-srednego-predprinimatelstva/" \l "_edn2" \o "" </w:instrTex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B0C8E">
        <w:rPr>
          <w:rFonts w:ascii="Times New Roman" w:eastAsia="Times New Roman" w:hAnsi="Times New Roman" w:cs="Times New Roman"/>
          <w:color w:val="348300"/>
          <w:sz w:val="28"/>
          <w:szCs w:val="28"/>
          <w:u w:val="single"/>
          <w:vertAlign w:val="superscript"/>
          <w:lang w:eastAsia="ru-RU"/>
        </w:rPr>
        <w:t>[</w:t>
      </w:r>
      <w:proofErr w:type="spellStart"/>
      <w:r w:rsidRPr="00EB0C8E">
        <w:rPr>
          <w:rFonts w:ascii="Times New Roman" w:eastAsia="Times New Roman" w:hAnsi="Times New Roman" w:cs="Times New Roman"/>
          <w:color w:val="348300"/>
          <w:sz w:val="28"/>
          <w:szCs w:val="28"/>
          <w:u w:val="single"/>
          <w:vertAlign w:val="superscript"/>
          <w:lang w:eastAsia="ru-RU"/>
        </w:rPr>
        <w:t>ii</w:t>
      </w:r>
      <w:proofErr w:type="spellEnd"/>
      <w:r w:rsidRPr="00EB0C8E">
        <w:rPr>
          <w:rFonts w:ascii="Times New Roman" w:eastAsia="Times New Roman" w:hAnsi="Times New Roman" w:cs="Times New Roman"/>
          <w:color w:val="348300"/>
          <w:sz w:val="28"/>
          <w:szCs w:val="28"/>
          <w:u w:val="single"/>
          <w:vertAlign w:val="superscript"/>
          <w:lang w:eastAsia="ru-RU"/>
        </w:rPr>
        <w:t>]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2"/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Департамента имущественных и земельных отношений Смоленской области, в информационно-телекоммуникационной сети «Интернет» по адресу: http://www.admin-smolensk.ru/~depim/ в разделе «Имущественная поддержка субъектов малого и среднего предпринимательства» размещен Перечень объектов государственной собственности Смоленской области, который включает в себя  земельные участки, здания, строения, сооружения, нежилые помещения, оборудование, 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машины, механизмы, установки, транспортные средства, инвентарь, инструменты и т.п.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имущества, включенные в Перечень, предоставляются в аренду следующими способами: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путем предоставления государственных преференций в виде передачи в аренду объектов без проведения торгов на право заключения договоров аренды;</w:t>
      </w:r>
      <w:bookmarkStart w:id="3" w:name="_ednref3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"https://sychevka.admin-smolensk.ru/news/preimuschestva-registracii-v-edinom-reestre-subektov-malogo-i-srednego-predprinimatelstva/" \l "_edn3" \o "" </w:instrTex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B0C8E">
        <w:rPr>
          <w:rFonts w:ascii="Times New Roman" w:eastAsia="Times New Roman" w:hAnsi="Times New Roman" w:cs="Times New Roman"/>
          <w:color w:val="348300"/>
          <w:sz w:val="28"/>
          <w:szCs w:val="28"/>
          <w:u w:val="single"/>
          <w:vertAlign w:val="superscript"/>
          <w:lang w:eastAsia="ru-RU"/>
        </w:rPr>
        <w:t>[</w:t>
      </w:r>
      <w:proofErr w:type="spellStart"/>
      <w:r w:rsidRPr="00EB0C8E">
        <w:rPr>
          <w:rFonts w:ascii="Times New Roman" w:eastAsia="Times New Roman" w:hAnsi="Times New Roman" w:cs="Times New Roman"/>
          <w:color w:val="348300"/>
          <w:sz w:val="28"/>
          <w:szCs w:val="28"/>
          <w:u w:val="single"/>
          <w:vertAlign w:val="superscript"/>
          <w:lang w:eastAsia="ru-RU"/>
        </w:rPr>
        <w:t>iii</w:t>
      </w:r>
      <w:proofErr w:type="spellEnd"/>
      <w:r w:rsidRPr="00EB0C8E">
        <w:rPr>
          <w:rFonts w:ascii="Times New Roman" w:eastAsia="Times New Roman" w:hAnsi="Times New Roman" w:cs="Times New Roman"/>
          <w:color w:val="348300"/>
          <w:sz w:val="28"/>
          <w:szCs w:val="28"/>
          <w:u w:val="single"/>
          <w:vertAlign w:val="superscript"/>
          <w:lang w:eastAsia="ru-RU"/>
        </w:rPr>
        <w:t>]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3"/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результатам торгов на право заключения договоров аренды.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предоставляются в аренду на срок не менее чем 5 лет (срок действия договора аренды может быть уменьшен на основании заявления).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субъектов малого и среднего предпринимательства, осуществляющих в соответствии с Общероссийским </w:t>
      </w:r>
      <w:hyperlink r:id="rId10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классификатором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видов экономической деятельности, социально значимые виды деятельности в качестве основного вида деятельности по следующим разделам: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 A. Сельское, лесное хозяйство, охота, рыболовство и рыбоводство </w:t>
      </w:r>
      <w:hyperlink r:id="rId11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(класс 01)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2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раздел C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Обрабатывающие производства;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3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раздел F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Строительство;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4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раздел G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Торговля оптовая и розничная; ремонт автотранспортных средств и мотоциклов;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5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раздел I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 гостиниц и предприятий общественного питания,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являющиеся сельскохозяйственными кооперативами, или осуществляющие иные приоритетные виды деятельности, устанавливается </w:t>
      </w: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льгота по арендной плате в форме понижающего коэффициента.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в аренду объекта имущества, находящегося в неудовлетворительном состоянии, устанавливается льготная арендная плата при условии проведения арендатором капитального ремонта объекта на период капитального ремонта объекта, но не более 1 года.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7. Участие в государственных, муниципальных и корпоративных закупках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44-ФЗ заказчики должны осуществлять закупки товаров (работ, услуг) у </w:t>
      </w: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субъектов малого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предпринимательства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СМП) в размере не менее 15% от совокупного годового объема закупок.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СМП может принять участие в любой закупке, если компания соответствует требованиям заказчика и сможет выполнить условия контракта.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есть закупки, которые </w:t>
      </w: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заказчик должен проводить только среди СМП. 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среди конкурентов не будет представителей среднего и крупного бизнеса. Даже если такие участники подадут заявки, заказчик их отклонит.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цена таких закупок не должна превышать 20 млн. рублей. Для участия в них организация предоставляет декларацию о принадлежности к малому бизнесу. В электронных закупках декларацию формирует сама электронная торговая площадка, необходимо только подписать документ электронной подписью. 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может проводить закупки у малого бизнеса любыми конкурентными процедурами: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6" w:tgtFrame="_blank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открытый конкурс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 том числе конкурс с ограниченным участием, двухэтапный конкурс);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7" w:tooltip="Электронный аукцион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электронный аукцион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8" w:tooltip="Запрос котировок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запрос котировок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9" w:tgtFrame="_blank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запрос предложений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ПРЕИМУЩЕСТВА: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Представители СМП могут не обеспечивать контракт деньгами, если у них есть опыт исполнения государственных (муниципальных) контрактов (</w:t>
      </w:r>
      <w:hyperlink r:id="rId20" w:tgtFrame="_blank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п. 8.1 ст. 96 44-ФЗ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таких контрактов должно быть не меньше трех, которые должны быть исполнены без штрафов и неустоек;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 представленных контрактов – не меньше начальной (максимальной) цены контракта текущей закупки;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 контрактах должна быть внесена в реестр контрактов. Выпиской из него победитель будет подтверждать добросовестность. Размер обеспечения считается от цены победителя закупки, а не от размера начальной (максимальной) цены контракта текущей закупки.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 </w:t>
      </w:r>
      <w:proofErr w:type="spellStart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госзакупках</w:t>
      </w:r>
      <w:proofErr w:type="spellEnd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преимуществами для СМП размер обеспечения контракта заказчик будет устанавливать, исходя из цены контракта, а не от размера начальной (максимальной) цены контракта текущей закупки.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тоже время обеспечение контракта должно быть не меньше аванса.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Положительным моментом в закупках, проводимых только среди СМП является то, что размер обеспечения заявки на участие устанавливается в размере не более 2% от начальной (максимальной) цены контракта. Для сравнения, в других закупках заказчик вправе установить обеспечение заявки в размере до 5% от цены контракта.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Заказчик должен оплатить товары (работы, услуги) не позднее 15 рабочих дней с даты подписания заказчиком документа о приемке товаров (работ, услуг) (</w:t>
      </w:r>
      <w:hyperlink r:id="rId21" w:tgtFrame="_blank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ч. 8 ст. 30 44-ФЗ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Эти пункты должны быть включены в контракт с СМП.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Федеральному закону от 18.07.2011 № 223-ФЗ «О закупках товаров, работ, услуг отдельными видами юридических лиц»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 – Федеральный закон 223-ФЗ)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Федеральным законом 223-ФЗ заказчики должны осуществлять закупки у субъектов </w:t>
      </w: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малого и среднего</w:t>
      </w: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предпринимательства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размере не менее 18% от общего объема товаров, работ или услуг. В квоту включают только заключенные договоры.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223-ФЗ, закупать товары (работы, услуги) у субъектов МСП заказчики могут только четырьмя видами конкурентных процедур: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аукцион;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конкурс;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запрос котировок;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запрос предложений.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Закупки у субъектов МСП заказчики проводят только на восьми электронных торговых площадках (на тех же, где проходят все закупки по Федеральному закону 44-ФЗ): 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22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Сбербанк-АСТ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(http://www.sberbank-ast.ru/);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23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АГЗРТ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(http://www.astgoz.ru/);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24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ЕЭТП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(http://www.roseltorg.ru/);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25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РТС-Тендер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(https://www.rts-tender.ru/);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26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Электронные торговые системы (http://www.etp-ets.ru)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27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Российский аукционный дом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(https://gz.lot-online.ru/etp_front/);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28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ЭТП ГПБ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(https://etpgpb.ru/);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29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ТЭК-Торг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(https://www.tektorg.ru/).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ПРЕИМУЩЕСТВА: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 Федеральным законом 223-ФЗ заказчики не обязаны требовать от поставщиков (подрядчиков, исполнителей) обеспечение заявки и контракта. Но если в закупке есть такое требование, то для субъектов МСП действуют льготные условия: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 обеспечения заявки не может превышать 2% от начальной (максимальной) цены договора;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 обеспечения договора не может превышать 5% от начальной (максимальной) цены договора или равна сумме аванса.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Представитель субъекта МСП платит электронной торговой площадке за победу 1% от начальной (максимальной) цены договора, но не больше 2 000 рублей (в обычных закупках лимит выше 5 000 рублей)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Максимальный срок оплаты по договору с субъектом МСП – не больше 30 календарных дней со дня подписания акта-приемки товаров (работ, услуг).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2020 года вступят в силу ряд изменений:</w:t>
      </w:r>
    </w:p>
    <w:p w:rsidR="00EB0C8E" w:rsidRPr="00EB0C8E" w:rsidRDefault="00EB0C8E" w:rsidP="00EB0C8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2020 года срок оплаты заказчиком за поставленные товары (работы, услуги) по договорам с субъектами МСП сократится </w:t>
      </w:r>
      <w:r w:rsidRPr="00EB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 15 рабочих дней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подписания акта приемки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 (работ, услуг), а не 30 календарных, как сейчас (Постановление Правительства РФ от 18.09.2019 № 1205). Срок сократят для всех ситуаций: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закупку провели на общих основаниях;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 ней могли только МСП;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МСП выступали субподрядчиками.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Общий годовой объем таких закупок должен будет составлять не менее 20%. При этом доля стоимости договоров с субъектами МСП по результатам закупок, в которых могут участвовать только субъекты МСП, вырастет до 18% (Постановление Правительства РФ от 01.08.2019 № 1001).</w:t>
      </w:r>
    </w:p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C8E" w:rsidRPr="00EB0C8E" w:rsidRDefault="00EB0C8E" w:rsidP="00EB0C8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142.5pt;height:.75pt" o:hrpct="330" o:hrstd="t" o:hr="t" fillcolor="#a0a0a0" stroked="f"/>
        </w:pict>
      </w:r>
    </w:p>
    <w:bookmarkStart w:id="4" w:name="_edn1"/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"https://sychevka.admin-smolensk.ru/news/preimuschestva-registracii-v-edinom-reestre-subektov-malogo-i-srednego-predprinimatelstva/" \l "_ednref1" \o "" </w:instrTex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B0C8E">
        <w:rPr>
          <w:rFonts w:ascii="Times New Roman" w:eastAsia="Times New Roman" w:hAnsi="Times New Roman" w:cs="Times New Roman"/>
          <w:color w:val="348300"/>
          <w:sz w:val="28"/>
          <w:szCs w:val="28"/>
          <w:u w:val="single"/>
          <w:lang w:eastAsia="ru-RU"/>
        </w:rPr>
        <w:t>[i]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4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требованиям, установленным Федеральным </w:t>
      </w:r>
      <w:hyperlink r:id="rId30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законом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развитии малого и среднего предпринимате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льства в Российской Федерации» 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24.07.2007 № 209-ФЗ.</w:t>
      </w:r>
    </w:p>
    <w:bookmarkStart w:id="5" w:name="_edn2"/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"https://sychevka.admin-smolensk.ru/news/preimuschestva-registracii-v-edinom-reestre-subektov-malogo-i-srednego-predprinimatelstva/" \l "_ednref2" \o "" </w:instrTex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B0C8E">
        <w:rPr>
          <w:rFonts w:ascii="Times New Roman" w:eastAsia="Times New Roman" w:hAnsi="Times New Roman" w:cs="Times New Roman"/>
          <w:color w:val="348300"/>
          <w:sz w:val="28"/>
          <w:szCs w:val="28"/>
          <w:u w:val="single"/>
          <w:lang w:eastAsia="ru-RU"/>
        </w:rPr>
        <w:t>[</w:t>
      </w:r>
      <w:proofErr w:type="spellStart"/>
      <w:r w:rsidRPr="00EB0C8E">
        <w:rPr>
          <w:rFonts w:ascii="Times New Roman" w:eastAsia="Times New Roman" w:hAnsi="Times New Roman" w:cs="Times New Roman"/>
          <w:color w:val="348300"/>
          <w:sz w:val="28"/>
          <w:szCs w:val="28"/>
          <w:u w:val="single"/>
          <w:lang w:eastAsia="ru-RU"/>
        </w:rPr>
        <w:t>ii</w:t>
      </w:r>
      <w:proofErr w:type="spellEnd"/>
      <w:r w:rsidRPr="00EB0C8E">
        <w:rPr>
          <w:rFonts w:ascii="Times New Roman" w:eastAsia="Times New Roman" w:hAnsi="Times New Roman" w:cs="Times New Roman"/>
          <w:color w:val="348300"/>
          <w:sz w:val="28"/>
          <w:szCs w:val="28"/>
          <w:u w:val="single"/>
          <w:lang w:eastAsia="ru-RU"/>
        </w:rPr>
        <w:t>]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5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Смоленской области от 31.12.2009 № 839 «Об утверждении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имущественных прав субъектов малого и среднего предпринимательства)».</w:t>
      </w:r>
    </w:p>
    <w:bookmarkStart w:id="6" w:name="_edn3"/>
    <w:p w:rsidR="00EB0C8E" w:rsidRPr="00EB0C8E" w:rsidRDefault="00EB0C8E" w:rsidP="00EB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"https://sychevka.admin-smolensk.ru/news/preimuschestva-registracii-v-edinom-reestre-subektov-malogo-i-srednego-predprinimatelstva/" \l "_ednref3" \o "" </w:instrTex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B0C8E">
        <w:rPr>
          <w:rFonts w:ascii="Times New Roman" w:eastAsia="Times New Roman" w:hAnsi="Times New Roman" w:cs="Times New Roman"/>
          <w:color w:val="348300"/>
          <w:sz w:val="28"/>
          <w:szCs w:val="28"/>
          <w:u w:val="single"/>
          <w:lang w:eastAsia="ru-RU"/>
        </w:rPr>
        <w:t>[</w:t>
      </w:r>
      <w:proofErr w:type="spellStart"/>
      <w:r w:rsidRPr="00EB0C8E">
        <w:rPr>
          <w:rFonts w:ascii="Times New Roman" w:eastAsia="Times New Roman" w:hAnsi="Times New Roman" w:cs="Times New Roman"/>
          <w:color w:val="348300"/>
          <w:sz w:val="28"/>
          <w:szCs w:val="28"/>
          <w:u w:val="single"/>
          <w:lang w:eastAsia="ru-RU"/>
        </w:rPr>
        <w:t>iii</w:t>
      </w:r>
      <w:proofErr w:type="spellEnd"/>
      <w:r w:rsidRPr="00EB0C8E">
        <w:rPr>
          <w:rFonts w:ascii="Times New Roman" w:eastAsia="Times New Roman" w:hAnsi="Times New Roman" w:cs="Times New Roman"/>
          <w:color w:val="348300"/>
          <w:sz w:val="28"/>
          <w:szCs w:val="28"/>
          <w:u w:val="single"/>
          <w:lang w:eastAsia="ru-RU"/>
        </w:rPr>
        <w:t>]</w:t>
      </w:r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6"/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Областной государственной </w:t>
      </w:r>
      <w:hyperlink r:id="rId31" w:history="1">
        <w:r w:rsidRPr="00EB0C8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программы</w:t>
        </w:r>
      </w:hyperlink>
      <w:r w:rsidRPr="00E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«Экономическое развитие Смоленской области, включая создание благоприятного предпринимательского и инвестиционного климата», утвержденной постановлением Администрации Смоленской области от 08.11.2013 N 894.</w:t>
      </w:r>
    </w:p>
    <w:p w:rsidR="002D1BCC" w:rsidRDefault="002D1BCC"/>
    <w:sectPr w:rsidR="002D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82ED7"/>
    <w:multiLevelType w:val="multilevel"/>
    <w:tmpl w:val="4CC4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85764"/>
    <w:multiLevelType w:val="multilevel"/>
    <w:tmpl w:val="A220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77976"/>
    <w:multiLevelType w:val="multilevel"/>
    <w:tmpl w:val="D934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2"/>
    <w:rsid w:val="002D1BCC"/>
    <w:rsid w:val="00394542"/>
    <w:rsid w:val="00856991"/>
    <w:rsid w:val="009D2FF2"/>
    <w:rsid w:val="00E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EE7F-EB8C-4A6F-9383-51A96FDE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67.ru/" TargetMode="External"/><Relationship Id="rId13" Type="http://schemas.openxmlformats.org/officeDocument/2006/relationships/hyperlink" Target="consultantplus://offline/ref=1AC952E342AFBC4BC4C00E3EA050BCB3A6B188D82ECD98D5991B9B8D2C43580418864C79D554444879AFEFDDFBBEA32FA035645C57B90E69N1D2H" TargetMode="External"/><Relationship Id="rId18" Type="http://schemas.openxmlformats.org/officeDocument/2006/relationships/hyperlink" Target="https://zakupki.kontur.ru/site/articles/1103-zapros-kotirovok" TargetMode="External"/><Relationship Id="rId26" Type="http://schemas.openxmlformats.org/officeDocument/2006/relationships/hyperlink" Target="file:///C:\Users\E4FB~1\AppData\Local\Temp\delo\%D0%AD%D0%BB%D0%B5%D0%BA%D1%82%D1%80%D0%BE%D0%BD%D0%BD%D1%8B%D0%B5%20%D1%82%D0%BE%D1%80%D0%B3%D0%BE%D0%B2%D1%8B%D0%B5%20%D1%81%D0%B8%D1%81%D1%82%D0%B5%D0%BC%D1%8B%20(http:\www.etp-ets.ru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43262&amp;rangeId=270008" TargetMode="External"/><Relationship Id="rId7" Type="http://schemas.openxmlformats.org/officeDocument/2006/relationships/hyperlink" Target="https://dep.smolinvest.com/" TargetMode="External"/><Relationship Id="rId12" Type="http://schemas.openxmlformats.org/officeDocument/2006/relationships/hyperlink" Target="consultantplus://offline/ref=1AC952E342AFBC4BC4C00E3EA050BCB3A6B188D82ECD98D5991B9B8D2C43580418864C79D552434B70AFEFDDFBBEA32FA035645C57B90E69N1D2H" TargetMode="External"/><Relationship Id="rId17" Type="http://schemas.openxmlformats.org/officeDocument/2006/relationships/hyperlink" Target="https://zakupki.kontur.ru/site/articles/95-how-to-win" TargetMode="External"/><Relationship Id="rId25" Type="http://schemas.openxmlformats.org/officeDocument/2006/relationships/hyperlink" Target="http://rts-tender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upki.kontur.ru/site/articles/1137-otkritiy-konkurs-44-fz" TargetMode="External"/><Relationship Id="rId20" Type="http://schemas.openxmlformats.org/officeDocument/2006/relationships/hyperlink" Target="https://normativ.kontur.ru/document?moduleId=1&amp;documentId=343262&amp;rangeId=270007" TargetMode="External"/><Relationship Id="rId29" Type="http://schemas.openxmlformats.org/officeDocument/2006/relationships/hyperlink" Target="http://rn.tekt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molinvest.com/" TargetMode="External"/><Relationship Id="rId11" Type="http://schemas.openxmlformats.org/officeDocument/2006/relationships/hyperlink" Target="consultantplus://offline/ref=1AC952E342AFBC4BC4C00E3EA050BCB3A6B188D82ECD98D5991B9B8D2C43580418864C79D552454977AFEFDDFBBEA32FA035645C57B90E69N1D2H" TargetMode="External"/><Relationship Id="rId24" Type="http://schemas.openxmlformats.org/officeDocument/2006/relationships/hyperlink" Target="http://etp.roseltorg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15" Type="http://schemas.openxmlformats.org/officeDocument/2006/relationships/hyperlink" Target="consultantplus://offline/ref=1AC952E342AFBC4BC4C00E3EA050BCB3A6B188D82ECD98D5991B9B8D2C43580418864C79D556474A75AFEFDDFBBEA32FA035645C57B90E69N1D2H" TargetMode="External"/><Relationship Id="rId23" Type="http://schemas.openxmlformats.org/officeDocument/2006/relationships/hyperlink" Target="http://etp.zakazrf.ru/" TargetMode="External"/><Relationship Id="rId28" Type="http://schemas.openxmlformats.org/officeDocument/2006/relationships/hyperlink" Target="https://etpgpb.ru/landing/?utm_source=direct&amp;utm_medium=cpc&amp;utm_campaign=%7Belektronnie_torgovie_ploshadki_poisk%7D&amp;utm_content=4593322658&amp;utm_term=%D1%8D%D1%82%D0%BF%20%D0%B3%D0%BF%D0%B1&amp;yagla=33356240&amp;_openstat=ZGlyZWN0LnlhbmRleC5ydTsyOTE1ODk5Mjs0NTkzMzIyNjU4O3lhbmRleC5ydTpwcmVtaXVt&amp;yclid=6008759116488253468" TargetMode="External"/><Relationship Id="rId10" Type="http://schemas.openxmlformats.org/officeDocument/2006/relationships/hyperlink" Target="consultantplus://offline/ref=1AC952E342AFBC4BC4C00E3EA050BCB3A6B188D82ECD98D5991B9B8D2C4358040A861475D7525A4B73BAB98CBENED2H" TargetMode="External"/><Relationship Id="rId19" Type="http://schemas.openxmlformats.org/officeDocument/2006/relationships/hyperlink" Target="https://zakupki.kontur.ru/site/articles/1130-zapros-predlozheniy" TargetMode="External"/><Relationship Id="rId31" Type="http://schemas.openxmlformats.org/officeDocument/2006/relationships/hyperlink" Target="consultantplus://offline/ref=1AC952E342AFBC4BC4C00E28A33CE1B9A3B8D4D62CCF9B82CC4A9DDA73135E5158C64A2C9616494D7AF0EAC8EAE6AC2DBE2A67404BBB0FN6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ort67.com/" TargetMode="External"/><Relationship Id="rId14" Type="http://schemas.openxmlformats.org/officeDocument/2006/relationships/hyperlink" Target="consultantplus://offline/ref=1AC952E342AFBC4BC4C00E3EA050BCB3A6B188D82ECD98D5991B9B8D2C43580418864C79D551444B77AFEFDDFBBEA32FA035645C57B90E69N1D2H" TargetMode="External"/><Relationship Id="rId22" Type="http://schemas.openxmlformats.org/officeDocument/2006/relationships/hyperlink" Target="http://www.sberbank-ast.ru/" TargetMode="External"/><Relationship Id="rId27" Type="http://schemas.openxmlformats.org/officeDocument/2006/relationships/hyperlink" Target="http://lot-online.ru/home/index.html" TargetMode="External"/><Relationship Id="rId30" Type="http://schemas.openxmlformats.org/officeDocument/2006/relationships/hyperlink" Target="consultantplus://offline/ref=1AC952E342AFBC4BC4C00E3EA050BCB3A6B08ADC24CD98D5991B9B8D2C4358040A861475D7525A4B73BAB98CBENE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2992</Words>
  <Characters>17060</Characters>
  <Application>Microsoft Office Word</Application>
  <DocSecurity>0</DocSecurity>
  <Lines>142</Lines>
  <Paragraphs>40</Paragraphs>
  <ScaleCrop>false</ScaleCrop>
  <Company/>
  <LinksUpToDate>false</LinksUpToDate>
  <CharactersWithSpaces>20012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Стасевна Константинова</dc:creator>
  <cp:keywords/>
  <dc:description/>
  <cp:lastModifiedBy>Наталья Стасевна Константинова</cp:lastModifiedBy>
  <cp:revision>4</cp:revision>
  <dcterms:created xsi:type="dcterms:W3CDTF">2021-08-19T14:34:00Z</dcterms:created>
  <dcterms:modified xsi:type="dcterms:W3CDTF">2021-08-19T14:41:00Z</dcterms:modified>
</cp:coreProperties>
</file>