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D06" w:rsidRDefault="00703D06">
      <w:pPr>
        <w:widowControl w:val="0"/>
        <w:autoSpaceDE w:val="0"/>
        <w:autoSpaceDN w:val="0"/>
        <w:adjustRightInd w:val="0"/>
        <w:spacing w:after="0" w:line="240" w:lineRule="auto"/>
        <w:outlineLvl w:val="0"/>
        <w:rPr>
          <w:rFonts w:ascii="Calibri" w:hAnsi="Calibri" w:cs="Calibri"/>
        </w:rPr>
      </w:pPr>
    </w:p>
    <w:p w:rsidR="00703D06" w:rsidRDefault="00703D06">
      <w:pPr>
        <w:widowControl w:val="0"/>
        <w:autoSpaceDE w:val="0"/>
        <w:autoSpaceDN w:val="0"/>
        <w:adjustRightInd w:val="0"/>
        <w:spacing w:after="0" w:line="240" w:lineRule="auto"/>
        <w:jc w:val="center"/>
        <w:outlineLvl w:val="0"/>
        <w:rPr>
          <w:rFonts w:ascii="Calibri" w:hAnsi="Calibri" w:cs="Calibri"/>
          <w:b/>
          <w:bCs/>
        </w:rPr>
      </w:pPr>
      <w:bookmarkStart w:id="0" w:name="Par1"/>
      <w:bookmarkEnd w:id="0"/>
      <w:r>
        <w:rPr>
          <w:rFonts w:ascii="Calibri" w:hAnsi="Calibri" w:cs="Calibri"/>
          <w:b/>
          <w:bCs/>
        </w:rPr>
        <w:t>АДМИНИСТРАЦИЯ СМОЛЕНСКОЙ ОБЛАСТИ</w:t>
      </w:r>
    </w:p>
    <w:p w:rsidR="00703D06" w:rsidRDefault="00703D06">
      <w:pPr>
        <w:widowControl w:val="0"/>
        <w:autoSpaceDE w:val="0"/>
        <w:autoSpaceDN w:val="0"/>
        <w:adjustRightInd w:val="0"/>
        <w:spacing w:after="0" w:line="240" w:lineRule="auto"/>
        <w:jc w:val="center"/>
        <w:rPr>
          <w:rFonts w:ascii="Calibri" w:hAnsi="Calibri" w:cs="Calibri"/>
          <w:b/>
          <w:bCs/>
        </w:rPr>
      </w:pP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РАСПОРЯЖЕНИЕ</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15 декабря 2014 г. N 1753-р/адм</w:t>
      </w:r>
    </w:p>
    <w:p w:rsidR="00703D06" w:rsidRDefault="00703D06">
      <w:pPr>
        <w:widowControl w:val="0"/>
        <w:autoSpaceDE w:val="0"/>
        <w:autoSpaceDN w:val="0"/>
        <w:adjustRightInd w:val="0"/>
        <w:spacing w:after="0" w:line="240" w:lineRule="auto"/>
        <w:jc w:val="center"/>
        <w:rPr>
          <w:rFonts w:ascii="Calibri" w:hAnsi="Calibri" w:cs="Calibri"/>
          <w:b/>
          <w:bCs/>
        </w:rPr>
      </w:pP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ИНВЕСТИЦИОННОЙ СТРАТЕГИИ</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СМОЛЕНСКОЙ ОБЛАСТИ ДО 2025 ГОДА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 исполнение </w:t>
      </w:r>
      <w:hyperlink r:id="rId4" w:history="1">
        <w:r>
          <w:rPr>
            <w:rFonts w:ascii="Calibri" w:hAnsi="Calibri" w:cs="Calibri"/>
            <w:color w:val="0000FF"/>
          </w:rPr>
          <w:t>пункта 1</w:t>
        </w:r>
      </w:hyperlink>
      <w:r>
        <w:rPr>
          <w:rFonts w:ascii="Calibri" w:hAnsi="Calibri" w:cs="Calibri"/>
        </w:rPr>
        <w:t xml:space="preserve"> дорожной карты внедрения стандарта деятельности органов исполнительной власти субъекта Российской Федерации по обеспечению благоприятного инвестиционного климата в Смоленской области, утвержденной распоряжением Губернатора Смоленской области от 12.09.2013 N 917-р (в редакции распоряжения Губернатора Смоленской области от 18.07.2014 N 806-р), а также в целях повышения инвестиционной привлекательности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представленную на рассмотрение Администрации Смоленской области Департаментом экономического развития Смоленской области Инвестиционную </w:t>
      </w:r>
      <w:hyperlink w:anchor="Par21" w:history="1">
        <w:r>
          <w:rPr>
            <w:rFonts w:ascii="Calibri" w:hAnsi="Calibri" w:cs="Calibri"/>
            <w:color w:val="0000FF"/>
          </w:rPr>
          <w:t>стратегию</w:t>
        </w:r>
      </w:hyperlink>
      <w:r>
        <w:rPr>
          <w:rFonts w:ascii="Calibri" w:hAnsi="Calibri" w:cs="Calibri"/>
        </w:rPr>
        <w:t xml:space="preserve"> Смоленской области до 2025 года (далее - Инвестиционная стратегия).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Определить, что Департамент экономического развития Смоленской области осуществляет хранение Инвестиционной </w:t>
      </w:r>
      <w:hyperlink w:anchor="Par21" w:history="1">
        <w:r>
          <w:rPr>
            <w:rFonts w:ascii="Calibri" w:hAnsi="Calibri" w:cs="Calibri"/>
            <w:color w:val="0000FF"/>
          </w:rPr>
          <w:t>стратегии</w:t>
        </w:r>
      </w:hyperlink>
      <w:r>
        <w:rPr>
          <w:rFonts w:ascii="Calibri" w:hAnsi="Calibri" w:cs="Calibri"/>
        </w:rPr>
        <w:t>, обеспечивает ее реализацию и ее размещение на официальном сайте Департамента экономического развития Смоленской области, специализированном многоязычном Интернет-портале "Инвестиционная деятельность в Смоленской области".</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r>
        <w:rPr>
          <w:rFonts w:ascii="Calibri" w:hAnsi="Calibri" w:cs="Calibri"/>
        </w:rPr>
        <w:t>Губернатор</w:t>
      </w:r>
    </w:p>
    <w:p w:rsidR="00703D06" w:rsidRDefault="00703D06">
      <w:pPr>
        <w:widowControl w:val="0"/>
        <w:autoSpaceDE w:val="0"/>
        <w:autoSpaceDN w:val="0"/>
        <w:adjustRightInd w:val="0"/>
        <w:spacing w:after="0" w:line="240" w:lineRule="auto"/>
        <w:jc w:val="right"/>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jc w:val="right"/>
        <w:rPr>
          <w:rFonts w:ascii="Calibri" w:hAnsi="Calibri" w:cs="Calibri"/>
        </w:rPr>
      </w:pPr>
      <w:r>
        <w:rPr>
          <w:rFonts w:ascii="Calibri" w:hAnsi="Calibri" w:cs="Calibri"/>
        </w:rPr>
        <w:t>А.В.ОСТРОВСКИЙ</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outlineLvl w:val="0"/>
        <w:rPr>
          <w:rFonts w:ascii="Calibri" w:hAnsi="Calibri" w:cs="Calibri"/>
          <w:b/>
          <w:bCs/>
        </w:rPr>
      </w:pPr>
      <w:bookmarkStart w:id="1" w:name="Par21"/>
      <w:bookmarkEnd w:id="1"/>
      <w:r>
        <w:rPr>
          <w:rFonts w:ascii="Calibri" w:hAnsi="Calibri" w:cs="Calibri"/>
          <w:b/>
          <w:bCs/>
        </w:rPr>
        <w:t>ИНВЕСТИЦИОННАЯ СТРАТЕГИЯ</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СМОЛЕНСКОЙ ОБЛАСТИ ДО 2025 ГОДА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2" w:name="Par24"/>
      <w:bookmarkEnd w:id="2"/>
      <w:r>
        <w:rPr>
          <w:rFonts w:ascii="Calibri" w:hAnsi="Calibri" w:cs="Calibri"/>
        </w:rPr>
        <w:t>1. ДОСТУПНЫЕ РЕСУРСЫ РАЗВИТИЯ ЭКОНОМИКИ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Подробный анализ текущего состояния экономики Смоленской области представлен в Отчете по результатам первого этапа "Исследования инвестиционного климата в Смоленской области, разработка мер, обеспечивающих благоприятные условия предпринимательской деятельности и улучшение инвестиционного климата в регионе" (Отчет "I этап. Исследование текущего состояния и процесса формирования инвестиционного климата Смоленской области" 520 стр. - приложение к данной Инвестиционной стратегии (не приводится)). В настоящем документе мы приводим только некоторые выдержки и выводы из него.</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3" w:name="Par28"/>
      <w:bookmarkEnd w:id="3"/>
      <w:r>
        <w:rPr>
          <w:rFonts w:ascii="Calibri" w:hAnsi="Calibri" w:cs="Calibri"/>
        </w:rPr>
        <w:t>1.1. ХАРАКТЕРИСТИКИ СОЦИАЛЬНО-ЭКОНОМИЧЕСКОГО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Смоленская область входит в состав Центрального федерального округа. Географически область расположена в центральной части Восточно-Европейской (Русской) равнины. Большую часть области занимает Смоленско-Московская возвышенность, на северо-западе располагается Прибалтийская низменность, на юге - Приднепровская низменность. Область граничит с Московской, Калужской, Брянской, Псковской и Тверской областями России, а также с Могилевской и Витебской областями Белоруссии. Площадь составляет 49779 км2. Население по предварительной оценке на 1 января 2014 года и в среднем за 2013 год составляет 971,4 тыс. </w:t>
      </w:r>
      <w:r>
        <w:rPr>
          <w:rFonts w:ascii="Calibri" w:hAnsi="Calibri" w:cs="Calibri"/>
        </w:rPr>
        <w:lastRenderedPageBreak/>
        <w:t>человек. В соседних российских регионах с территориальным радиусом 500 км от Смоленской области проживает 67,9 млн. человек.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Область характеризуется наибольшей доступностью и близостью к пограничному переходу по автодороге (Белоруссия - 319 км). Основные автодороги региона: М1 "Беларусь" (протяженность в пределах области - 298 километров, через Вязьму, Сафоново, Ярцево и Смоленск), Р120 "Орел - Витебск" (221 км, через Рославль, Смоленск и Рудню), А101 "Москва - Варшава" ("Старая Польская" или "Варшавка", протяженностью 115 км, через Десногорск и Рославль).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Природные условия области характерны для умеренно-континентального климата. Средняя температура января -9°C, июля +17°C. Для большей части области различия в температуре невелики. Период с положительной среднесуточной температурой воздуха продолжается 213 - 224 дня. Средняя продолжительность безморозного периода 125 - 148 дней. Для области характерна значительная изменчивость циркуляции атмосферы в течение года, что приводит к весьма заметным отклонениям температуры и осадков от средних многолетних. Среднегодовое количество дней с осадками от 170 до 190, объем осадков составляет 590 мм. Распределение осадков в течение года также неравномерно - наибольшее количество их выпадает летом (порядка 225 - 250 мм). Общие запасы подземных вод в соотношении с площадью - 127,6 м куб. в сут./км кв. Общие ресурсы речного стока в соотношении с площадью составляют 0,29 км/год. Смоленская область характеризуется высокой облачностью (наибольшее количество ясных дней весной - до 10%).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территории области обнаружено около 30 видов полезных ископаемых. Наиболее распространенные: бурый уголь, различные глины и суглинки, торф, каменная соль, песчано-гравийные материалы и булыжный камень, известняки, мел и др. В восточной и юго-восточной частях области залегают бурые угли. Детально разведаны около 30 месторождений суммарным запасом 400 млн. т. Распространены поверхностные залежи торфа, насчитывается 1154 месторождения с общими запасами более 300 млн. т, особенно массивные находятся в Духовщинском и Руднянском районах. Насчитывается 233 месторождения сапропелей с общими запасами 170 млн. 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Область расположена в зоне смешанных лесов. Общая площадь земель лесного фонда составляет 2093,9 тыс. га, в том числе в ведении государственных органов лесного хозяйства находится 1000,2 тыс. га. Средний возраст насаждений 44 года. Объем заготовки древесины в 2012 году составил 1801,2 тыс. куб. м. Развитие глубокой переработки древесины является одним из приоритетных направлений экономического развития региона. Спрос на продукцию данного вида деятельности будет определяться внутренним потреблением, улучшением условий ипотечного кредитования и активизации жилищного строительства. Сдерживающим рост фактором может стать использование альтернативных материалов (пластиками, металлом, композитными материалами). В государственной и муниципальной собственности Смоленской области в 2012 году находилось 1982,4 га земель лесного фонда, 862,8 га земель сельскохозяйственного назначения, а также 67,5 га земель промышленного, энергетического, транспортного назначения.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Основная река области - Днепр с притоками Сож, Десна, Вопь, Вязьма. К бассейну Волги относятся реки Вазуза и ее приток Гжать, а также приток Оки река Угра. На северо-западе протекает короткий участок Западной Двины и ее приток река Каспля. В области несколько сотен озер, из них особенно выделяются ледниковые на северо-западе: Каспля, Свадицкое, Велисто и др. Самое крупное среди них Акатовское (655 га). На северо-востоке области располагаются два водохранилища - Вазузское и Яузское, а также охладители электростанций - Смоленское водохранилище на севере у поселка Озерный и Десногорское водохранилище на юге области около города Десногорска.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Ежегодный объем вырабатываемой электроэнергии в области составляет порядка 25 млрд. кВт/ч. На территории региона находятся такие крупные электростанции как Смоленская АЭС (филиал ОАО "Концерн Росэнергоатом" "Смоленская атомная станция", г. Десногорск) - крупнейшая атомная электрическая станция северо-западного региона, мощностью 3000 МВт и Смоленская ГРЭС (филиал "Смоленская ГРЭС" ОАО "Э.ОН Россия", пос. Озерный) - тепловая электростанция, установленная мощность ГРЭС составляет 630 МВт. Энергоносителем являются </w:t>
      </w:r>
      <w:r>
        <w:rPr>
          <w:rFonts w:ascii="Calibri" w:hAnsi="Calibri" w:cs="Calibri"/>
        </w:rPr>
        <w:lastRenderedPageBreak/>
        <w:t>газ и уголь.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Область обладает развитой транспортной инфраструктурой (автомобильной и железнодорожной). В Смоленской области в 2012 году высокими темпами прироста характеризуются показатели грузоперевозок железнодорожным транспортом - 9,7 млн. тонн (+16,9% к 2011 году), а также грузооборот автомобильным транспортом - 1166,3 млн. тонн/км (+22,9% к 2011 году). При этом длина железнодорожных путей сообщения увеличилась до 1156 км (+0,1% к 2011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федеральным законодательством в 2012 году в Смоленской области был создан дорожный фонд, что повлекло увеличение финансирования дорожной отрасли Смоленской области почти в 3 раза: с 1 млрд. 425 млн. рублей в 2011 году до 4 млрд. 165 млн. рублей в 2012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Валовой региональный продукт </w:t>
      </w:r>
      <w:hyperlink w:anchor="Par41" w:history="1">
        <w:r>
          <w:rPr>
            <w:rFonts w:ascii="Calibri" w:hAnsi="Calibri" w:cs="Calibri"/>
            <w:color w:val="0000FF"/>
          </w:rPr>
          <w:t>&lt;1&gt;</w:t>
        </w:r>
      </w:hyperlink>
      <w:r>
        <w:rPr>
          <w:rFonts w:ascii="Calibri" w:hAnsi="Calibri" w:cs="Calibri"/>
        </w:rPr>
        <w:t xml:space="preserve"> по Смоленской области в 2013 году составил 216,8 млрд. руб., с ростом индекса физического объема на 3,1% к уровню 2012 года. Сегодня в формировании общей структуры валового регионального продукта области наибольший удельный вес принадлежит следующим отраслям: промышленности, торговле и услугам, транспорту и связи, сельскому хозяйству, строительству. В структуре промышленного производства выделяются электроэнергетика, машиностроение и металлообработка, ювелирная промышленность, химическая, пищевая.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 w:name="Par41"/>
      <w:bookmarkEnd w:id="4"/>
      <w:r>
        <w:rPr>
          <w:rFonts w:ascii="Calibri" w:hAnsi="Calibri" w:cs="Calibri"/>
        </w:rPr>
        <w:t>&lt;1&gt;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Более 30 процентов ВРП приходится на долю промышленности, около 20 процентов - оптовая и розничная торговля, 9 процентов - транспорт и связь, более 7 процентов - сельское хозяйство. Таким образом, в рамках территориального разделения труда область преимущественно выполняет функцию производства продукции.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структуре промышленного производства лидирующее место занимает производство и распределение электроэнергии, газа и воды (26%). В 2012 году объем инновационных товаров и услуг в Смоленской области сократился на 46% и составил 746,46 млн. руб. Объем отгруженной продукции в обрабатывающем производстве увеличился по отношению к 2011 году на 3,4% (126104 млн. руб.), в добыче полезных ископаемых - на 19,4% (1516 млн. руб.). Структура промышленного производства в 2012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и распределение электроэнергии, газа и воды - 26%;</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химическое производство - 9,9%;</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пищевых продуктов, включая напитки, и табака - 9,2%;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электрооборудования - 9,8%;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ювелирная промышленность - 7,2%;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транспортных средств и оборудования - 6,7%;</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металлургическое производство и производство готовых металлических изделий - 6,1%;</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прочих неметаллических минеральных продуктов - 6,1%;</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резиновых и пластмассовых изделий - 5,8%;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машин и оборудования - 3,7%;</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обработка древесины и производство изделий из дерева - 3,7%;</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текстильное и швейное производство - 2,4%;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кожи, изделий из кожи и производство обуви - 0,3%;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целлюлозно-бумажное производство - 2,2%;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добыча полезных ископаемых - 0,9%.</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Смоленской области крупнейшими отраслями промышленности являются производство и распределение электроэнергии, газа и воды, химическое производство, производство пищевых продуктов, производство электрооборудования, электронного и оптического оборудования, металлургическое производство, производство транспортных средств и оборудования, производство прочих неметаллических минеральных продуктов. Объем производства в данных </w:t>
      </w:r>
      <w:r>
        <w:rPr>
          <w:rFonts w:ascii="Calibri" w:hAnsi="Calibri" w:cs="Calibri"/>
        </w:rPr>
        <w:lastRenderedPageBreak/>
        <w:t>сферах в 2011 - 2012 гг. превышал 127 - 131 млрд. руб. По статистическим данным отгружено "Производство, передача и распределение электроэнергии" за январь - декабрь 2012 года составило 46344 млн. рублей.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перечисленных областей в 2012 году вырос выпуск в сферах производства пищевых продуктов - 15765 млн. руб. (на 2,7%), производства транспортных средств - 11506 млн. руб. (на 4,5%), производства прочих неметаллических минеральных продуктов - 10615 млн. руб. (на 17,9%).</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Сельское хозяйство является одной из важнейших отраслей специализации экономики Смоленской области. В валовом региональном продукте доля сельского хозяйства составляет 7%. В 2013 году объем продукции сельского хозяйства составил 20520 млн. руб., в том числе продукции животноводства - 12107 млн. руб. Выросло производство льна, картофеля и овощей.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Смоленской области оборот розничной торговли и объем платных услуг населению в 2012 году вырос на 10% и 5%: до 120555,9 млн. и 23760,3 млн. рублей соответственно. Поскольку крупнейшим торговым партнером для Смоленской области является Белоруссия, то в области представлено большое количество белорусских продуктов, которые составляют конкуренцию местным товарам.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финансовым показателям деятельности организаций в Смоленской области доля прибыльных предприятий составляет почти 70%. Сальдированный финансовый результат (прибыль минус убыток) организаций составил 9804 млн. рублей. Удельный вес прибыльных предприятий, в % к общему количеству предприятий составил 69,1%.</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Объемы кредитования юридических лиц и индивидуальных предпринимателей в рублях по видам экономической деятельности и отдельным направлениям использования средств в 2012 году составили 476511 млн. руб. Наибольший объем кредитования у обрабатывающих производств - 153065 млн. руб., на втором месте оптовая и розничная торговля - 97455 млн.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Смоленской области отмечается высокий процент государственного долга. Для бюджета области в 2014 году будет соблюдаться режим экономии, в первую очередь будет сокращено финансирование несоциальных сфер. Однако социальная сфера также будет затронута.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региональный бюджет недополучил около 3 млрд. руб. из-за решения Правительства Российской Федерации о направлении налогов консолидированных налогоплательщиков области ("Росатом", "Газпромтрансгаз - Санкт-Петербург", "Транснефть" и др.) в федеральный бюджет.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Численность населения </w:t>
      </w:r>
      <w:hyperlink w:anchor="Par70" w:history="1">
        <w:r>
          <w:rPr>
            <w:rFonts w:ascii="Calibri" w:hAnsi="Calibri" w:cs="Calibri"/>
            <w:color w:val="0000FF"/>
          </w:rPr>
          <w:t>&lt;2&gt;</w:t>
        </w:r>
      </w:hyperlink>
      <w:r>
        <w:rPr>
          <w:rFonts w:ascii="Calibri" w:hAnsi="Calibri" w:cs="Calibri"/>
        </w:rPr>
        <w:t xml:space="preserve"> в среднем за 2013 год составила 971,5 тыс. человек. По сравнению с 2012 показатель сократился на 0,6%. Снижение численности населения области происходит за счет естественной убыли. В регионе смертность превышает рождаемость. При этом миграционный прирост не компенсирует естественную убыль. Основной приток мигрантов в область осуществляется за счет стран СНГ, таких как Республика Беларусь и Узбекистан.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5" w:name="Par70"/>
      <w:bookmarkEnd w:id="5"/>
      <w:r>
        <w:rPr>
          <w:rFonts w:ascii="Calibri" w:hAnsi="Calibri" w:cs="Calibri"/>
        </w:rPr>
        <w:t>&lt;2&gt;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Главной задачей в сфере демографии в Смоленской области по-прежнему остается уменьшение остроты демографического кризиса, снижение темпов естественной убыли населения. На ее решение по-прежнему будут направлены мероприятия по созданию благоприятных условий для повышения рождаемости, улучшению положения семей с детьми, сокращению уровня смертности, а также сохранению и укреплению здоровья населения, регулированию внутренней и внешней миграции, реализуемые в рамках Концепции демографического развития Смоленской области на период до 2025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Смоленской области высокий показатель численности студентов на 10000 человек. Это говорит о потенциале формирования базы профессиональных кадров. Число выпускников вузов в 2012 году составило 6141 тыс. чел. Между тем, ситуацию усугубляет географическая близость к столичному региону, куда многие выпускники вузов уезжают в поисках работы и более высоких зарплат.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 современном этапе профессиональное образование рассматривается как один из важнейших факторов развития экономики региона, в связи с чем проблема подготовки рабочих кадров и специалистов среднего звена в соответствии с потребностями регионального рынка труда является одной из ведущих. В области разработана Региональная комплексная программа развития профессионального образования Смоленской области до 2014 года, целью которой является создание условий для формирования конкурентоспособного кадрового потенциала как приоритетного ресурса, обеспечивающего инновационное социально-экономическое развитие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Рост заработной платы, увеличение пенсионного обеспечения, доходов от предпринимательской деятельности, улучшение ситуации на рынке труда обеспечили рост денежных доходов населения области. В 2013 году среднедушевые денежные доходы населения </w:t>
      </w:r>
      <w:hyperlink w:anchor="Par77" w:history="1">
        <w:r>
          <w:rPr>
            <w:rFonts w:ascii="Calibri" w:hAnsi="Calibri" w:cs="Calibri"/>
            <w:color w:val="0000FF"/>
          </w:rPr>
          <w:t>&lt;3&gt;</w:t>
        </w:r>
      </w:hyperlink>
      <w:r>
        <w:rPr>
          <w:rFonts w:ascii="Calibri" w:hAnsi="Calibri" w:cs="Calibri"/>
        </w:rPr>
        <w:t xml:space="preserve"> области составили 19977 рублей в месяц и увеличились против 2012 года на 9%. Численность экономически активного населения в 2013 году составила 539,3 тыс. чел. Потребительские расходы на душу населения - 19264 руб. В 2013 году в Смоленской области сократился уровень безработицы до 5,2% к экономически активному населению.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6" w:name="Par77"/>
      <w:bookmarkEnd w:id="6"/>
      <w:r>
        <w:rPr>
          <w:rFonts w:ascii="Calibri" w:hAnsi="Calibri" w:cs="Calibri"/>
        </w:rPr>
        <w:t>&lt;3&gt; Основные показатели, представляемые для разработки прогноза социально-экономического развития Российской Федерации на 2015 год и на период до 2017 года (для субъектов Российской Федерации). Представлено Департаментом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427D1E">
      <w:pPr>
        <w:widowControl w:val="0"/>
        <w:autoSpaceDE w:val="0"/>
        <w:autoSpaceDN w:val="0"/>
        <w:adjustRightInd w:val="0"/>
        <w:spacing w:after="0" w:line="240" w:lineRule="auto"/>
        <w:ind w:firstLine="540"/>
        <w:jc w:val="both"/>
        <w:rPr>
          <w:rFonts w:ascii="Calibri" w:hAnsi="Calibri" w:cs="Calibri"/>
        </w:rPr>
      </w:pPr>
      <w:hyperlink r:id="rId5" w:history="1">
        <w:r w:rsidR="00703D06">
          <w:rPr>
            <w:rFonts w:ascii="Calibri" w:hAnsi="Calibri" w:cs="Calibri"/>
            <w:color w:val="0000FF"/>
          </w:rPr>
          <w:t>Постановление</w:t>
        </w:r>
      </w:hyperlink>
      <w:r w:rsidR="00703D06">
        <w:rPr>
          <w:rFonts w:ascii="Calibri" w:hAnsi="Calibri" w:cs="Calibri"/>
        </w:rPr>
        <w:t xml:space="preserve"> Администрации Смоленской области от 30.09.2011 N 603 утратило силу с 31 января 2014 года в связи с изданием </w:t>
      </w:r>
      <w:hyperlink r:id="rId6" w:history="1">
        <w:r w:rsidR="00703D06">
          <w:rPr>
            <w:rFonts w:ascii="Calibri" w:hAnsi="Calibri" w:cs="Calibri"/>
            <w:color w:val="0000FF"/>
          </w:rPr>
          <w:t>постановления</w:t>
        </w:r>
      </w:hyperlink>
      <w:r w:rsidR="00703D06">
        <w:rPr>
          <w:rFonts w:ascii="Calibri" w:hAnsi="Calibri" w:cs="Calibri"/>
        </w:rPr>
        <w:t xml:space="preserve"> Администрации Смоленской области от 31.01.2014 N 29.</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улучшения инвестиционного климата на территории Смоленской области действовала долгосрочная областная целевая </w:t>
      </w:r>
      <w:hyperlink r:id="rId7" w:history="1">
        <w:r>
          <w:rPr>
            <w:rFonts w:ascii="Calibri" w:hAnsi="Calibri" w:cs="Calibri"/>
            <w:color w:val="0000FF"/>
          </w:rPr>
          <w:t>программа</w:t>
        </w:r>
      </w:hyperlink>
      <w:r>
        <w:rPr>
          <w:rFonts w:ascii="Calibri" w:hAnsi="Calibri" w:cs="Calibri"/>
        </w:rPr>
        <w:t xml:space="preserve"> "Повышение инвестиционного потенциала Смоленской области" на 2012 - 2015 годы, утвержденная постановлением Администрации Смоленской области от 30.09.2011 N 603, с общим объемом финансирования 215,5 млн. рублей. В 2012 году объем ее финансирования за счет средств областного бюджета составил 20,2 млн. рублей.</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постановление Администрации Смоленской области от 08.11.2013 имеет N 894, а не N 984.</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настоящее время действует </w:t>
      </w:r>
      <w:hyperlink r:id="rId8" w:history="1">
        <w:r>
          <w:rPr>
            <w:rFonts w:ascii="Calibri" w:hAnsi="Calibri" w:cs="Calibri"/>
            <w:color w:val="0000FF"/>
          </w:rPr>
          <w:t>постановление</w:t>
        </w:r>
      </w:hyperlink>
      <w:r>
        <w:rPr>
          <w:rFonts w:ascii="Calibri" w:hAnsi="Calibri" w:cs="Calibri"/>
        </w:rPr>
        <w:t xml:space="preserve"> Администрации Смоленской области от 08.11.2013 N 984 "Об утверждении 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2014 - 2020 годы, общим объемом финансирования более 711,8 млн. рублей.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Смоленской области создана система мер государственной поддержки инвестиционной деятельности, направленная на стимулирование инвестиционных процессов в регионе, оказание финансовой и административной поддержки инвесторам, реализующим инвестиционные проекты на территории региона. В соответствии с областным </w:t>
      </w:r>
      <w:hyperlink r:id="rId9" w:history="1">
        <w:r>
          <w:rPr>
            <w:rFonts w:ascii="Calibri" w:hAnsi="Calibri" w:cs="Calibri"/>
            <w:color w:val="0000FF"/>
          </w:rPr>
          <w:t>законом</w:t>
        </w:r>
      </w:hyperlink>
      <w:r>
        <w:rPr>
          <w:rFonts w:ascii="Calibri" w:hAnsi="Calibri" w:cs="Calibri"/>
        </w:rPr>
        <w:t xml:space="preserve"> от 23.12.2002 N 95-з "О государственной поддержке инвестиционной деятельности на территории Смоленской области" предусмотрены такие формы государственной поддержки инвесторов, как налоговые льготы; бюджетные инвестиции; субсидии по кредитам, лизинговым платежам и по обслуживанию облигаций; государственные гарантии Смоленской области; инвестиционные налоговые кредиты; сопровождение инвестиционных проектов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Государственная поддержка инвестиционной деятельности в 2012 году оказана 23 предприятиям для реализации 25 одобренных инвестиционных проектов Смоленской области. </w:t>
      </w:r>
      <w:r>
        <w:rPr>
          <w:rFonts w:ascii="Calibri" w:hAnsi="Calibri" w:cs="Calibri"/>
        </w:rPr>
        <w:lastRenderedPageBreak/>
        <w:t>Размер поддержки составил 29,1 млн. рублей. В 2012 году в Смоленской области наблюдалось снижение объема инвестиций в основной капитал (56,44 млрд. руб.), а также показателя на душу населения (57716,13 руб./чел.). Доля инвестиций в структуре ВРП составляла порядка 30%.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Объем иностранных инвестиций </w:t>
      </w:r>
      <w:hyperlink w:anchor="Par93" w:history="1">
        <w:r>
          <w:rPr>
            <w:rFonts w:ascii="Calibri" w:hAnsi="Calibri" w:cs="Calibri"/>
            <w:color w:val="0000FF"/>
          </w:rPr>
          <w:t>&lt;4&gt;</w:t>
        </w:r>
      </w:hyperlink>
      <w:r>
        <w:rPr>
          <w:rFonts w:ascii="Calibri" w:hAnsi="Calibri" w:cs="Calibri"/>
        </w:rPr>
        <w:t xml:space="preserve"> в 2013 году достиг 381,9 млн. долларов США, или 114,2% к уровню 2012 года. Основные вложения иностранного капитала в Смоленской области осуществлялись такими крупными предприятиями, как ООО "ЭГГЕР ДРЕВПРОДУКТ ГАГАРИН", ОАО "Дорогобуж", ОАО "ОСРАМ" и рядом других предприятий.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 w:name="Par93"/>
      <w:bookmarkEnd w:id="7"/>
      <w:r>
        <w:rPr>
          <w:rFonts w:ascii="Calibri" w:hAnsi="Calibri" w:cs="Calibri"/>
        </w:rPr>
        <w:t>&lt;4&gt; http://econsmolensk.ru/guber_posl/.</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структуре распределения источников инвестиций по формам собственности в области преобладает частная собственность. В основных фондах в Смоленской области преобладают машины, оборудование, транспортные средства (48,0%).</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8" w:name="Par97"/>
      <w:bookmarkEnd w:id="8"/>
      <w:r>
        <w:rPr>
          <w:rFonts w:ascii="Calibri" w:hAnsi="Calibri" w:cs="Calibri"/>
        </w:rPr>
        <w:t>1.2. ХАРАКТЕРИСТИКИ ОТРАСЛЕЙ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Крупнейшей и наиболее успешно развивающейся отраслью экономики области является химическая и нефтехимическая промышленность во главе с одним из крупнейших предприятий области - ОАО "Дорогобуж". Другими ведущими отраслями региона с хорошими финансовыми показателями являются производство прочих неметаллических минеральных продуктов (ОАО "Ситалл") и деревообрабатывающая промышленность (ООО "ЭГГЕР ДРЕВПРОДУКТ ГАГАРИН"). Отрасли промышленности, представленные крупными предприятиями, испытывающими в настоящее время финансовые затруднения, являются пищевая, ювелирная промышленность, приборостроение и машиностроение. Отраслями, испытывающими серьезные финансовые затруднения, являются текстильная подотрасль легкой промышленности и металлургия. Необходимо отметить высокий уровень развития в области ювелирной промышленности (ОАО "ПО "Кристалл").</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9" w:name="Par101"/>
      <w:bookmarkEnd w:id="9"/>
      <w:r>
        <w:rPr>
          <w:rFonts w:ascii="Calibri" w:hAnsi="Calibri" w:cs="Calibri"/>
        </w:rPr>
        <w:t>ПРОИЗВОДСТВО ПИЩЕВЫХ ПРОДУКТОВ, ВКЛЮЧАЯ НАПИТКИ, И ТАБАКА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Пищевая промышленность области осуществляет переработку местного сельскохозяйственного сырья. Отрасль является четвертой в области по объемам промышленного производства и имеет широкую специализацию (молочная, мясная, мукомольная, хлебопекарная, спиртовая, ликероводочная, масложировая и плодоовощная). Смоленская область уже несколько десятилетий занимает одно из первых мест в ЦФО по производству молочных консервов, сухого молока, а также сыра и животного масла на душу населения. Объем отгруженной продукции (работ, услуг) в январе - июне 2013 года в действующих ценах - 7566,5 млн. руб. (8,7% от общего объема отгруженной промышленности продукции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крупным предприятием пищевой промышленности Смоленской области из тех, финансовая информация по которым имеется в открытом доступе, является ООО "Промконсервы". Предприятие обладает развитой сбытовой сетью в различных регионах РФ, а также поставляет продукцию за рубеж - в Казахстан, Узбекистан, Белоруссию, Азербайджан, Туркменистан, Грузию.</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0" w:name="Par106"/>
      <w:bookmarkEnd w:id="10"/>
      <w:r>
        <w:rPr>
          <w:rFonts w:ascii="Calibri" w:hAnsi="Calibri" w:cs="Calibri"/>
        </w:rPr>
        <w:t>ЛЕГКАЯ ПРОМЫШЛЕННОСТЬ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Легкая промышленность области включает текстильное и швейное производство, а также производство кожи, изделий из кожи и производство обуви. Объем отгруженной продукции (работ, услуг) в январе - июне 2013 года в действующих ценах - 2638,8 млн. руб. (3% от общего объема отгруженной промышленности продукции области). Всего в Смоленской области размещено около 75 предприятий легкой промышленности, большинство которых являются мелкими или средними. При этом основополагающими направлениями развития легкой промышленности на сегодня являются: швейное, текстильное и чулочно-носочное производство. В Смоленской области выпускается широкий спектр текстильных товаров: одеяла, подушки, </w:t>
      </w:r>
      <w:r>
        <w:rPr>
          <w:rFonts w:ascii="Calibri" w:hAnsi="Calibri" w:cs="Calibri"/>
        </w:rPr>
        <w:lastRenderedPageBreak/>
        <w:t>матрасы, постельное белье, хлопчатобумажные ткани, шпагат и мягкая игрушка.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Наиболее крупным предприятием легкой промышленности Смоленской области является ЗАО "Смоленская чулочная фабрика", занимающая около 13% процентов рынка чулочно-носочных изделий России </w:t>
      </w:r>
      <w:hyperlink w:anchor="Par111" w:history="1">
        <w:r>
          <w:rPr>
            <w:rFonts w:ascii="Calibri" w:hAnsi="Calibri" w:cs="Calibri"/>
            <w:color w:val="0000FF"/>
          </w:rPr>
          <w:t>&lt;5&gt;</w:t>
        </w:r>
      </w:hyperlink>
      <w:r>
        <w:rPr>
          <w:rFonts w:ascii="Calibri" w:hAnsi="Calibri" w:cs="Calibri"/>
        </w:rPr>
        <w:t>. Ее продукция имеется в продаже во всех регионах страны, а также в странах СНГ.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1" w:name="Par111"/>
      <w:bookmarkEnd w:id="11"/>
      <w:r>
        <w:rPr>
          <w:rFonts w:ascii="Calibri" w:hAnsi="Calibri" w:cs="Calibri"/>
        </w:rPr>
        <w:t>&lt;5&gt; http://ru.wikipedia.org/wiki/Смоленская_чулочная_фабрика.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2" w:name="Par113"/>
      <w:bookmarkEnd w:id="12"/>
      <w:r>
        <w:rPr>
          <w:rFonts w:ascii="Calibri" w:hAnsi="Calibri" w:cs="Calibri"/>
        </w:rPr>
        <w:t>ДЕРЕВООБРАБАТЫВАЮЩАЯ ПРОМЫШЛЕННОСТЬ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Лесная и деревообрабатывающая промышленность Смоленской области включает в себя лесозаготовительные и деревообрабатывающие предприятия, занимающиеся заготовкой и вывозом древесины, производством пиломатериалов, столярных изделий, фанеры, древесностружечных плит, мебели, срубов, строительных конструкций. Смоленская область располагает значительными запасами спелой лиственной древесины. Общий запас древесины в области достигает 321,4 млн. куб. метров. Ежегодный прирост древесины достигает 3,6 млн. куб. метров, что позволяет без ущерба для природы заготавливать 3,1 млн. куб. метров в год </w:t>
      </w:r>
      <w:hyperlink w:anchor="Par117" w:history="1">
        <w:r>
          <w:rPr>
            <w:rFonts w:ascii="Calibri" w:hAnsi="Calibri" w:cs="Calibri"/>
            <w:color w:val="0000FF"/>
          </w:rPr>
          <w:t>&lt;6&gt;</w:t>
        </w:r>
      </w:hyperlink>
      <w:r>
        <w:rPr>
          <w:rFonts w:ascii="Calibri" w:hAnsi="Calibri" w:cs="Calibri"/>
        </w:rPr>
        <w:t>. Объем отгруженной продукции (работ, услуг) в январе - июне 2013 года в действующих ценах - 3140,6 млн. руб. (3,6% от общего объема отгруженной промышленности продукции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3" w:name="Par117"/>
      <w:bookmarkEnd w:id="13"/>
      <w:r>
        <w:rPr>
          <w:rFonts w:ascii="Calibri" w:hAnsi="Calibri" w:cs="Calibri"/>
        </w:rPr>
        <w:t>&lt;6&gt; http://79.133.86.92/img/972_II.4.1.Promishlenniy_kompleks_Sm._obl..doc.</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крупным предприятием деревообрабатывающей промышленности Смоленской области является ООО "ЭГГЕР ДРЕВПРОДУКТ ГАГАРИН" (бывший Гагаринский фанерный завод). Наряду с цехом по производству сырой ДСП мощностью 500000 куб. метров завод имеет также цех ламинирования, производительность которого составляет 20 млн. кв. метров в год, а также свое лесозаготовительное хозяйство.</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4" w:name="Par121"/>
      <w:bookmarkEnd w:id="14"/>
      <w:r>
        <w:rPr>
          <w:rFonts w:ascii="Calibri" w:hAnsi="Calibri" w:cs="Calibri"/>
        </w:rPr>
        <w:t>ХИМИЧЕСКАЯ И НЕФТЕХИМИЧЕСКАЯ ПРОМЫШЛЕННОСТЬ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Химическая промышленность области представлена производством продукции основной химии и изделий из пластмасс. Объем отгруженной продукции (работ, услуг) в январе - июне 2013 года в действующих ценах - 10113,1 млн. руб. (11,6% от общего объема отгруженной промышленности продукции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крупным предприятием химической промышленности Смоленской области является ОАО "Дорогобуж", расположенное в п. Верхнеднепровский Дорогобужского района. Предприятие специализируется на производстве минеральных удобрений (аммиак, азотные удобрения и сложные удобрения) и продукции неорганической химии (аммиачная селитра, карбонат кальция, жидкая углекислота).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5" w:name="Par126"/>
      <w:bookmarkEnd w:id="15"/>
      <w:r>
        <w:rPr>
          <w:rFonts w:ascii="Calibri" w:hAnsi="Calibri" w:cs="Calibri"/>
        </w:rPr>
        <w:t>ПРОИЗВОДСТВО ПРОЧИХ НЕМЕТАЛЛИЧЕСКИХ МИНЕРАЛЬНЫХ ПРОДУКТОВ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прочих неметаллических минеральных продуктов в области представлено в основном предприятиями, производящими строительные материалы, а также производством стеклотары. Объем отгруженной продукции (работ, услуг) в январе - июне 2013 года, в действующих ценах - 5339 млн. руб. (6,1% от общего объема отгруженной промышленности продукции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крупным предприятием отрасли является ОАО "Ситалл", расположенное в городе Рославле. Основными видами продукции предприятия являются бутылки для винно-водочной продукции, пищевых жидкостей и парфюмерии.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6" w:name="Par131"/>
      <w:bookmarkEnd w:id="16"/>
      <w:r>
        <w:rPr>
          <w:rFonts w:ascii="Calibri" w:hAnsi="Calibri" w:cs="Calibri"/>
        </w:rPr>
        <w:t>МЕТАЛЛУРГИЧЕСКОЕ ПРОИЗВОДСТВО И ПРОИЗВОДСТВО ГОТОВЫХ</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МЕТАЛЛИЧЕСКИХ ИЗДЕЛИЙ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Объем отгруженной продукции (работ, услуг) в январе - июне 2013 года в действующих ценах - 5456,4 млн. руб. (6,3% от общего объема отгруженной промышленности продукции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крупным предприятием отрасли является ГУП "Литейно-прокатный завод", расположенное в городе Ярцево. Предприятие занимается выплавкой стали при помощи ДСП (дуговой сталеплавильной печи) и производством арматуры при помощи прокатного стана, выплавкой чугуна и производством изделий из него по заказу.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 w:name="Par137"/>
      <w:bookmarkEnd w:id="17"/>
      <w:r>
        <w:rPr>
          <w:rFonts w:ascii="Calibri" w:hAnsi="Calibri" w:cs="Calibri"/>
        </w:rPr>
        <w:t>ПРИБОРОСТРОЕНИЕ (ПРОИЗВОДСТВО ЭЛЕКТРООБОРУДОВАНИЯ,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ЭЛЕКТРОННОГО И ОПТИЧЕСКОГО ОБОРУДОВАНИЯ)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отгруженной продукции (работ, услуг) в январе - июне 2013 года в действующих ценах - 6854,1 млн. руб. (7,9% от общего объема отгруженной промышленности продукции области). Основными направлениями приборостроения являются производство контрольно-измерительных приборов (газоанализаторов, электро- и теплосчетчиков и др.), приборов и аппаратуры автоматического регулирования и управления, навигационных, метеорологических приборов, производство комплектующих и деталей для использования в изготовлении более сложных машин, выделяются такие направления, как производство светотехнического оборудования, осветительных приборов, производство проводов и кабелей.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крупными предприятиями отрасли являются ОАО "Осрам", ООО "Смолкабель" и ОАО "Измеритель". ОАО "Осрам" является дочерним предприятием концерна OSRAM (Германия). Завод в Смоленске был приобретен в 2003 г. для развития в России производства энергоэффективных линейных люминесцентных и компактных люминесцентных ламп. ООО "Смолкабель" образовано в г. Смоленске в октябре 2001 года как производственно-торговое предприятие. Основная сфера деятельности компании - производство и реализация кабельно-проводниковой продукции. ОАО "Измеритель" основан в 1968 году МИНАВИАПРОМом. В настоящее время предприятие изготавливает изделия для РОСАВИАКОСМОСа, всемирно известных фирм "Сухой", "Микоян", "Туполев" и др. По конверсионным технологиям изготавливается широкий спектр товаров народного потребления.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8" w:name="Par143"/>
      <w:bookmarkEnd w:id="18"/>
      <w:r>
        <w:rPr>
          <w:rFonts w:ascii="Calibri" w:hAnsi="Calibri" w:cs="Calibri"/>
        </w:rPr>
        <w:t>МАШИНОСТРОЕНИЕ (ПРОИЗВОДСТВО МАШИН И ОБОРУДОВАНИЯ)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отгруженной продукции (работ, услуг) в январе - июне 2013 года в действующих ценах - 2748,7 млн. руб. (3,1% от общего объема отгруженной промышленности продукции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9" w:name="Par147"/>
      <w:bookmarkEnd w:id="19"/>
      <w:r>
        <w:rPr>
          <w:rFonts w:ascii="Calibri" w:hAnsi="Calibri" w:cs="Calibri"/>
        </w:rPr>
        <w:t>ТРАНСПОРТНОЕ МАШИНОСТРОЕНИЕ (ПРОИЗВОДСТВО ТРАНСПОРТНЫХ</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СРЕДСТВ И ОБОРУДОВАНИЯ)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отгруженной продукции (работ, услуг) в январе - июне 2013 года в действующих ценах - 3727,6 млн. руб. (4,3% от общего объема отгруженной промышленности продукции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крупными предприятиями машиностроения области являются ОАО "Рославльский вагоноремонтный завод", ЗАО "Смоленский авиационный завод", ЗАО "Рославльский автоагрегатный завод АМО ЗИЛ".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ОАО "Рославльский вагоноремонтный завод" производит капитальный ремонт практически всех типов подвижного состава - полувагонов, вагонов-цистерн для перевозки нефтепродуктов и химических грузов, платформ и др. ЗАО "Смоленский авиационный завод", основанный в 1926 году, - одно из старейших авиационных предприятий России. С 2004 года завод входит в состав ОАО "Корпорация "Тактическое ракетное вооружение". Имеющиеся корпуса агрегатно-сборочных цехов и цехов окончательной сборки позволяют собирать узлы, агрегаты и проводить окончательную сборку самолетов типа ЯК-42, а наличие летно-испытательной станции - летные испытания различных типов самолетов. ЗАО "Рославльский автоагрегатный завод АМО ЗИЛ" представляет собой машиностроительный комплекс по производству автомобильных </w:t>
      </w:r>
      <w:r>
        <w:rPr>
          <w:rFonts w:ascii="Calibri" w:hAnsi="Calibri" w:cs="Calibri"/>
        </w:rPr>
        <w:lastRenderedPageBreak/>
        <w:t>компонентов. Основные виды продукции завода: механосборка и нормали, тормозная аппаратура, топливные насосы высокого давления.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0" w:name="Par154"/>
      <w:bookmarkEnd w:id="20"/>
      <w:r>
        <w:rPr>
          <w:rFonts w:ascii="Calibri" w:hAnsi="Calibri" w:cs="Calibri"/>
        </w:rPr>
        <w:t>ЮВЕЛИРНАЯ ПРОМЫШЛЕННОСТЬ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Ювелирная промышленность области представлена ОАО "Производственное объединение "Кристалл" и зависимыми от него компаниями. ОАО "ПО "Кристалл" является одним из крупнейших в мире предприятий по огранке природных алмазов в бриллианты, а также крупнейшим в России.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1" w:name="Par158"/>
      <w:bookmarkEnd w:id="21"/>
      <w:r>
        <w:rPr>
          <w:rFonts w:ascii="Calibri" w:hAnsi="Calibri" w:cs="Calibri"/>
        </w:rPr>
        <w:t>ПРОИЗВОДСТВО, ПЕРЕДАЧА И РАСПРЕДЕЛЕНИЕ ЭЛЕКТРОЭНЕРГИИ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отгруженной продукции (работ, услуг) за январь - декабрь 2012 года составил 46344 млн. рублей.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Электроэнергию в области вырабатывают: филиал ОАО "Концерн Росэнергоатом" "Смоленская атомная станция", филиал "Смоленская ГРЭС" ОАО "Э.ОН Россия", филиал ОАО "Квадра" - "Западная генерация", ООО "Дорогобужская ТЭЦ". Смоленская энергосистема является избыточной в части производства электроэнергии. Обладая резервом мощности, энергетический комплекс имеет возможность поставлять излишки электрической энергии на оптовый рынок. До 80 процентов вырабатываемой электроэнергии поставляется за пределы Смоленской области </w:t>
      </w:r>
      <w:hyperlink w:anchor="Par167" w:history="1">
        <w:r>
          <w:rPr>
            <w:rFonts w:ascii="Calibri" w:hAnsi="Calibri" w:cs="Calibri"/>
            <w:color w:val="0000FF"/>
          </w:rPr>
          <w:t>&lt;7&gt;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427D1E">
      <w:pPr>
        <w:widowControl w:val="0"/>
        <w:autoSpaceDE w:val="0"/>
        <w:autoSpaceDN w:val="0"/>
        <w:adjustRightInd w:val="0"/>
        <w:spacing w:after="0" w:line="240" w:lineRule="auto"/>
        <w:ind w:firstLine="540"/>
        <w:jc w:val="both"/>
        <w:rPr>
          <w:rFonts w:ascii="Calibri" w:hAnsi="Calibri" w:cs="Calibri"/>
        </w:rPr>
      </w:pPr>
      <w:hyperlink r:id="rId10" w:history="1">
        <w:r w:rsidR="00703D06">
          <w:rPr>
            <w:rFonts w:ascii="Calibri" w:hAnsi="Calibri" w:cs="Calibri"/>
            <w:color w:val="0000FF"/>
          </w:rPr>
          <w:t>Программа</w:t>
        </w:r>
      </w:hyperlink>
      <w:r w:rsidR="00703D06">
        <w:rPr>
          <w:rFonts w:ascii="Calibri" w:hAnsi="Calibri" w:cs="Calibri"/>
        </w:rPr>
        <w:t xml:space="preserve"> "Развитие электроэнергетики Смоленской области" на 2012 - 2016 годы, утвержденная постановлением Администрации Смоленской области от 29.04.2011 N 255, утратила силу с 28 апреля 2012 года в связи с изданием </w:t>
      </w:r>
      <w:hyperlink r:id="rId11" w:history="1">
        <w:r w:rsidR="00703D06">
          <w:rPr>
            <w:rFonts w:ascii="Calibri" w:hAnsi="Calibri" w:cs="Calibri"/>
            <w:color w:val="0000FF"/>
          </w:rPr>
          <w:t>постановления</w:t>
        </w:r>
      </w:hyperlink>
      <w:r w:rsidR="00703D06">
        <w:rPr>
          <w:rFonts w:ascii="Calibri" w:hAnsi="Calibri" w:cs="Calibri"/>
        </w:rPr>
        <w:t xml:space="preserve"> Администрации Смоленской области от 28.04.2012 N 300-а.</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2" w:name="Par167"/>
      <w:bookmarkEnd w:id="22"/>
      <w:r>
        <w:rPr>
          <w:rFonts w:ascii="Calibri" w:hAnsi="Calibri" w:cs="Calibri"/>
        </w:rPr>
        <w:t xml:space="preserve">&lt;7&gt; </w:t>
      </w:r>
      <w:hyperlink r:id="rId12" w:history="1">
        <w:r>
          <w:rPr>
            <w:rFonts w:ascii="Calibri" w:hAnsi="Calibri" w:cs="Calibri"/>
            <w:color w:val="0000FF"/>
          </w:rPr>
          <w:t>Программа</w:t>
        </w:r>
      </w:hyperlink>
      <w:r>
        <w:rPr>
          <w:rFonts w:ascii="Calibri" w:hAnsi="Calibri" w:cs="Calibri"/>
        </w:rPr>
        <w:t xml:space="preserve"> "Развитие электроэнергетики Смоленской области" на 2012 - 2016 годы.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территории Смоленской области действуют два гарантирующих поставщика: филиал "СмоленскАтомЭнергоСбыт" ОАО "АтомЭнергоСбыт" и ОАО "Оборонэнергосбыт", крупный гарантирующий поставщик электроэнергии - филиал "СмоленскАтомЭнергоСбыт" ОАО "АтомЭнергоСбыт". Крупнейшими электросетевыми компаниями, осуществляющими централизованное электроснабжение потребителей на территории Смоленской области, являются: филиал ОАО "Федеральная сетевая компания Единой энергетической системы" - "Брянское предприятие магистральных электрических сетей"; филиал ОАО "Межрегиональная распределительная сетевая компания Центра" - "Смоленскэнерго".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наиболее интенсивное развитие и, соответственно, рост потребления электроэнергии наблюдаются в восточной части Смоленской области, центры которой - города Вязьма и Гагарин.</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3" w:name="Par172"/>
      <w:bookmarkEnd w:id="23"/>
      <w:r>
        <w:rPr>
          <w:rFonts w:ascii="Calibri" w:hAnsi="Calibri" w:cs="Calibri"/>
        </w:rPr>
        <w:t>СЕЛЬСКОЕ ХОЗЯЙСТВО</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валовом региональном продукте доля сельского хозяйства составляет 7 процентов. Приоритетные направления развития сельского хозяйства - молочно-мясное скотоводство, льноводство, семеноводство многолетних трав.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Животноводство является базовой отраслью сельского хозяйства. В структуре товарной продукции сельского хозяйства его продукция составляет 83%, в том числе продукция молочного скотоводства - 39%. Поголовье крупного рогатого скота составляет около 123 тыс. голов, в том числе 66 тыс. коров. Птицеводство концентрируется на крупных птицефабриках, расположенных в пригородной зоне областного центра (ООО "Птицефабрика "Сметанино", ЗАО "Пригорское").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Сельскохозяйственные угодья Смоленской области занимают 1,7 млн. гектаров, в том числе пашня - 1,2 млн. гектаров. Растениеводство области специализируется на кормовых (60% </w:t>
      </w:r>
      <w:r>
        <w:rPr>
          <w:rFonts w:ascii="Calibri" w:hAnsi="Calibri" w:cs="Calibri"/>
        </w:rPr>
        <w:lastRenderedPageBreak/>
        <w:t>посевных площадей) и зерновых (30%) культурах, производстве льна, картофеля и овощей.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области располагается более 30 крупных производителей сельскохозяйственной продукции: СХПК колхоз-племзавод "Радищево", ПСК "Новомихайловский", ЗАО "АГРОПРОМЫШЛЕННАЯ ФИРМА "НАША ЖИТНИЦА", ООО "Балтутино", ЗАО "Золотая нива", СПК имени Урицкого, КП "Рыбковское", ЗАО Племзавод "Рассвет", ОАО "Смоленское" по племенной работе, ООО "Агросоюз", ЗАО "Агрофирма-Катынь", СПК "Дружба", ООО "Смоленское поле", ООО "Восток", ООО "Славянский продукт", ЗАО "Тропарево" и многие другие. По прогнозной оценке в 2014 году в хозяйствах всех категорий производство валовой продукции сельского хозяйства составит 21,7 млрд. рублей. Доля сельскохозяйственных организаций в валовом производстве продукции сельского хозяйства составит 48%.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2014 года в области развитие сельского хозяйства осуществляется в рамках областной государственной </w:t>
      </w:r>
      <w:hyperlink r:id="rId13" w:history="1">
        <w:r>
          <w:rPr>
            <w:rFonts w:ascii="Calibri" w:hAnsi="Calibri" w:cs="Calibri"/>
            <w:color w:val="0000FF"/>
          </w:rPr>
          <w:t>программы</w:t>
        </w:r>
      </w:hyperlink>
      <w:r>
        <w:rPr>
          <w:rFonts w:ascii="Calibri" w:hAnsi="Calibri" w:cs="Calibri"/>
        </w:rPr>
        <w:t xml:space="preserve"> "Развитие сельского хозяйства и регулирование рынков сельскохозяйственной продукции, сырья и продовольствия в Смоленской области" на 2014 - 2020 годы, в состав которой входят 4 подпрограммы: "</w:t>
      </w:r>
      <w:hyperlink r:id="rId14" w:history="1">
        <w:r>
          <w:rPr>
            <w:rFonts w:ascii="Calibri" w:hAnsi="Calibri" w:cs="Calibri"/>
            <w:color w:val="0000FF"/>
          </w:rPr>
          <w:t>Создание общих</w:t>
        </w:r>
      </w:hyperlink>
      <w:r>
        <w:rPr>
          <w:rFonts w:ascii="Calibri" w:hAnsi="Calibri" w:cs="Calibri"/>
        </w:rPr>
        <w:t xml:space="preserve"> условий функционирования и развития сельского хозяйства Смоленской области на 2014 - 2020 годы", "</w:t>
      </w:r>
      <w:hyperlink r:id="rId15" w:history="1">
        <w:r>
          <w:rPr>
            <w:rFonts w:ascii="Calibri" w:hAnsi="Calibri" w:cs="Calibri"/>
            <w:color w:val="0000FF"/>
          </w:rPr>
          <w:t>Устойчивое развитие</w:t>
        </w:r>
      </w:hyperlink>
      <w:r>
        <w:rPr>
          <w:rFonts w:ascii="Calibri" w:hAnsi="Calibri" w:cs="Calibri"/>
        </w:rPr>
        <w:t xml:space="preserve"> сельских территорий Смоленской области на 2014 - 2017 годы и на период до 2020 года", "</w:t>
      </w:r>
      <w:hyperlink r:id="rId16" w:history="1">
        <w:r>
          <w:rPr>
            <w:rFonts w:ascii="Calibri" w:hAnsi="Calibri" w:cs="Calibri"/>
            <w:color w:val="0000FF"/>
          </w:rPr>
          <w:t>Поддержка малых форм</w:t>
        </w:r>
      </w:hyperlink>
      <w:r>
        <w:rPr>
          <w:rFonts w:ascii="Calibri" w:hAnsi="Calibri" w:cs="Calibri"/>
        </w:rPr>
        <w:t xml:space="preserve"> хозяйствования в Смоленской области на 2014 - 2016 годы", обеспечивающая </w:t>
      </w:r>
      <w:hyperlink r:id="rId17" w:history="1">
        <w:r>
          <w:rPr>
            <w:rFonts w:ascii="Calibri" w:hAnsi="Calibri" w:cs="Calibri"/>
            <w:color w:val="0000FF"/>
          </w:rPr>
          <w:t>подпрограмма</w:t>
        </w:r>
      </w:hyperlink>
      <w:r>
        <w:rPr>
          <w:rFonts w:ascii="Calibri" w:hAnsi="Calibri" w:cs="Calibri"/>
        </w:rPr>
        <w:t xml:space="preserve"> и 8 ведомственных целевых программ: "Развитие льняного комплекса Смоленской области" на 2014 - 2016 годы, "Развитие семеноводства многолетних трав в Смоленской области" на 2014 - 2016 годы, "Развитие производства овощей в закрытом грунте в Смоленской области" на 2014 - 2016 годы, "Создание и развитие логистического центра на базе сельскохозяйственных потребительских кооперативов, расположенных на территории Смоленской области" на 2014 - 2016 годы, "Развитие мясо-молочной перерабатывающей промышленности в Смоленской области, обеспечение качества мясо-молочных продуктов" на 2014 - 2016 годы, "Развитие рыбного хозяйства в Смоленской области" на 2014 - 2016 годы, "Предотвращение заноса и распространения вируса африканской чумы свиней на территории Смоленской области" на 2014 - 2016 годы, "Развитие пантового мараловодства в Смоленской области" на 2014 - 2016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Отрасль обладает достаточно развитой научно-образовательной инфраструктурой. В области представлены как сельскохозяйственные научные учреждения (ГНУ "Смоленский научно-исследовательский институт сельского хозяйства" Российской Академии сельскохозяйственных наук), так и образовательные учреждения высшего, среднего и начального профессионального уровней.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4" w:name="Par181"/>
      <w:bookmarkEnd w:id="24"/>
      <w:r>
        <w:rPr>
          <w:rFonts w:ascii="Calibri" w:hAnsi="Calibri" w:cs="Calibri"/>
        </w:rPr>
        <w:t>1.3. УСЛОВИЯ ДЛЯ РЕАЛИЗАЦИИ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Существующие условия для реализации инвестиционных проектов обладают значительным потенциалом развития - сокращение количества процедур и сроков регистрации юридических лиц, подключения к инфраструктуре </w:t>
      </w:r>
      <w:hyperlink w:anchor="Par187" w:history="1">
        <w:r>
          <w:rPr>
            <w:rFonts w:ascii="Calibri" w:hAnsi="Calibri" w:cs="Calibri"/>
            <w:color w:val="0000FF"/>
          </w:rPr>
          <w:t>(таблица 1)</w:t>
        </w:r>
      </w:hyperlink>
      <w:r>
        <w:rPr>
          <w:rFonts w:ascii="Calibri" w:hAnsi="Calibri" w:cs="Calibri"/>
        </w:rPr>
        <w:t>. Также существует возможность использовать конкурентное преимущество области по показателям: "Минимальный и максимальный тарифы на 1000 м3 газа для промышленных пользователей на 01.07.2013", "Удельный вес численности высококвалифицированных работников в общей численности квалифицированных работников".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5" w:name="Par185"/>
      <w:bookmarkEnd w:id="25"/>
      <w:r>
        <w:rPr>
          <w:rFonts w:ascii="Calibri" w:hAnsi="Calibri" w:cs="Calibri"/>
        </w:rPr>
        <w:t>Таблица 1</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6" w:name="Par187"/>
      <w:bookmarkEnd w:id="26"/>
      <w:r>
        <w:rPr>
          <w:rFonts w:ascii="Calibri" w:hAnsi="Calibri" w:cs="Calibri"/>
        </w:rPr>
        <w:t>Условия для реализации инвестиционных проектов</w:t>
      </w:r>
    </w:p>
    <w:p w:rsidR="00703D06" w:rsidRDefault="00703D06">
      <w:pPr>
        <w:widowControl w:val="0"/>
        <w:autoSpaceDE w:val="0"/>
        <w:autoSpaceDN w:val="0"/>
        <w:adjustRightInd w:val="0"/>
        <w:spacing w:after="0" w:line="240" w:lineRule="auto"/>
        <w:jc w:val="center"/>
        <w:rPr>
          <w:rFonts w:ascii="Calibri" w:hAnsi="Calibri" w:cs="Calibri"/>
        </w:rPr>
        <w:sectPr w:rsidR="00703D06" w:rsidSect="000E36B6">
          <w:pgSz w:w="11906" w:h="16838"/>
          <w:pgMar w:top="1134" w:right="850" w:bottom="1134" w:left="1701" w:header="708" w:footer="708" w:gutter="0"/>
          <w:cols w:space="708"/>
          <w:docGrid w:linePitch="360"/>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005"/>
        <w:gridCol w:w="6633"/>
      </w:tblGrid>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Условия</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Выводы</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Легкость регистрации юридического лица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согласно Федеральному </w:t>
            </w:r>
            <w:hyperlink r:id="rId18" w:history="1">
              <w:r>
                <w:rPr>
                  <w:rFonts w:ascii="Calibri" w:hAnsi="Calibri" w:cs="Calibri"/>
                  <w:color w:val="0000FF"/>
                </w:rPr>
                <w:t>закону</w:t>
              </w:r>
            </w:hyperlink>
            <w:r>
              <w:rPr>
                <w:rFonts w:ascii="Calibri" w:hAnsi="Calibri" w:cs="Calibri"/>
              </w:rPr>
              <w:t xml:space="preserve"> РФ от 8 августа 2001 г. N 129-ФЗ срок на регистрацию юридического лица на всей территории РФ не должен превышать 5 рабочих дней </w:t>
            </w:r>
            <w:hyperlink w:anchor="Par215" w:history="1">
              <w:r>
                <w:rPr>
                  <w:rFonts w:ascii="Calibri" w:hAnsi="Calibri" w:cs="Calibri"/>
                  <w:color w:val="0000FF"/>
                </w:rPr>
                <w:t>&lt;8&gt;</w:t>
              </w:r>
            </w:hyperlink>
            <w:r>
              <w:rPr>
                <w:rFonts w:ascii="Calibri" w:hAnsi="Calibri" w:cs="Calibri"/>
              </w:rPr>
              <w:t>, при этом количество процедур для регистрации едино на всей территории РФ. Однако по факту в Смоленской области количество процедур для регистрации юридического лица - 9, срок регистрации - 23 дня, общая стоимость регистрации - 4500 руб.</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Срок получения разрешения на строительство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области количество процедур для получения разрешения на строительство должно сократиться как минимум до 22, а срок - до 246 дней</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Срок подключения к электроснабжению на 31.12.2012</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Смоленской области количество процедур для подключения - 10, суммарная стоимость 1 МВт на 01.03.2012 Ср. Н.1 - 1293,47 рублей без НДС</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Минимальный и максимальный тарифы на 1000 м3 газа для промышленных пользователей на 01.07.2013</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Смоленской области тариф на 1000 м3 газа для промышленных пользователей на 01.07.2013: min - 3829 руб. без НДС, max - 4065 рублей без НДС</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Прирост высокопроизводительных рабочих мест в % к предыдущему году</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данный показатель является негативным и для области составляет 11,9%. Значение показателя говорит о том, что в регион слабо привлекаются инвесторы, реализующие инновационные высокотехнологичные проекты</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Удельный вес организаций, осуществляемых технологические инновации в общем количестве обследованных организаций</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значение данного показателя для Смоленской области по данным 2011 года составляет 5,8%. Значение этого показателя говорит о том, что в Смоленской области необходимо всячески поддерживать организации, занимающиеся технологическими инновациями, тем самым привлекая технологически инновационных инвесторов</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7. Общая численность безработных, в % к экономически активному населению</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значение данного показателя для Смоленской области по данным 2012 года составляет 5,7%. Хотя Смоленская область обладает наиболее высокой численностью безработных в % отношении к экономически активному населению, данный показатель может иметь и положительную сторону. В случае прихода в Смоленскую область значительного числа инвесторов найти свободные рабочие кадры будет значительно легче, чем в соседних регионах (например, в Московской области - 2,9%)</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Удельный вес численности высококвалифицированных работников в общей численности квалифицированных работников, в %</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значение данного показателя для Смоленской области по данным 2012 года составляет 26,6% (это второй результат после Московской области). Данный показатель может стать одним из решающих моментов при принятии инвестором решения о размещении технологически инновационного производства</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 Отношение числа занятых в экономике региона к численности населения региона в трудоспособном возрасте (мужчины 16 - 59 лет, женщины 16 - 54 лет), %</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значение данного показателя для Смоленской области по данным 2012 года составляет 83,1%. По данному показателю можно утверждать, что: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Трудоспособное население Смоленской области в своем большинстве занято в экономике Смоленской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На трудовом рынке Смоленской области отсутствует значительный резерв по переключению работников на работу в своем регионе, и в случае интенсивного возникновения новых инвестиционных проектов на территории Смоленской области будет скорее осуществляться переток трудовых ресурсов с существующих предприятий на вновь создаваемые</w:t>
            </w:r>
          </w:p>
        </w:tc>
      </w:tr>
      <w:tr w:rsidR="00703D06">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 Средняя стоимость аренды 1 кв. м производственной недвижимости, руб. в месяц, в 2013 году</w:t>
            </w:r>
          </w:p>
        </w:tc>
        <w:tc>
          <w:tcPr>
            <w:tcW w:w="6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значение данного показателя для Смоленской области по данным 2013 года составляет от 120 руб. в месяц (для районов, удаленных от Москвы) и до 1000 руб. в месяц (что является одним из самых высоких показателей) за 1 кв. м (для районов, ближних к Москве)</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7" w:name="Par215"/>
      <w:bookmarkEnd w:id="27"/>
      <w:r>
        <w:rPr>
          <w:rFonts w:ascii="Calibri" w:hAnsi="Calibri" w:cs="Calibri"/>
        </w:rPr>
        <w:t>&lt;8&gt; http://base.spinform.ru/show_doc.fwx?rgn=1617.</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28" w:name="Par217"/>
      <w:bookmarkEnd w:id="28"/>
      <w:r>
        <w:rPr>
          <w:rFonts w:ascii="Calibri" w:hAnsi="Calibri" w:cs="Calibri"/>
        </w:rPr>
        <w:t>2. КОНКУРЕНТНЫЕ ПРЕИМУЩЕСТВА И ОГРАНИЧЕНИЯ СМОЛЕНСКОЙ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ОБЛАСТИ С ТОЧКИ ЗРЕНИЯ ИНВЕСТИЦИОННОЙ ПРИВЛЕКАТЕЛЬНОСТИ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9" w:name="Par220"/>
      <w:bookmarkEnd w:id="29"/>
      <w:r>
        <w:rPr>
          <w:rFonts w:ascii="Calibri" w:hAnsi="Calibri" w:cs="Calibri"/>
        </w:rPr>
        <w:t>2.1. SWOT-АНАЛИЗ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основе анализа текущих конкурентных преимуществ и слабых сторон Смоленской области лежат результаты SWOT-анализа региона </w:t>
      </w:r>
      <w:hyperlink w:anchor="Par226" w:history="1">
        <w:r>
          <w:rPr>
            <w:rFonts w:ascii="Calibri" w:hAnsi="Calibri" w:cs="Calibri"/>
            <w:color w:val="0000FF"/>
          </w:rPr>
          <w:t>(таблица 2)</w:t>
        </w:r>
      </w:hyperlink>
      <w:r>
        <w:rPr>
          <w:rFonts w:ascii="Calibri" w:hAnsi="Calibri" w:cs="Calibri"/>
        </w:rPr>
        <w:t>, который проводился по группам "жестких" и "мягких" факторов инвестиционного климата. "Жесткие" факторы - это те факторы, которые являются частью существующей среды и не могут быть изменены в краткосрочной и среднесрочной перспективе (активы, ресурсы), возможность оказывать на них влияние весьма ограничена, "мягкие" факторы - это факторы создания и управления представлениями инвесторов о регионе, эффективности процессов, внутренние возможности представителей соответствующих государственных организаций, законодательство и т.д.</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30" w:name="Par224"/>
      <w:bookmarkEnd w:id="30"/>
      <w:r>
        <w:rPr>
          <w:rFonts w:ascii="Calibri" w:hAnsi="Calibri" w:cs="Calibri"/>
        </w:rPr>
        <w:t>Таблица 2</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31" w:name="Par226"/>
      <w:bookmarkEnd w:id="31"/>
      <w:r>
        <w:rPr>
          <w:rFonts w:ascii="Calibri" w:hAnsi="Calibri" w:cs="Calibri"/>
        </w:rPr>
        <w:t>SWOT-анализ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692"/>
        <w:gridCol w:w="4878"/>
      </w:tblGrid>
      <w:tr w:rsidR="00703D06">
        <w:tc>
          <w:tcPr>
            <w:tcW w:w="4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Сильные стороны (S)</w:t>
            </w:r>
          </w:p>
          <w:p w:rsidR="00703D06" w:rsidRDefault="00703D06">
            <w:pPr>
              <w:widowControl w:val="0"/>
              <w:autoSpaceDE w:val="0"/>
              <w:autoSpaceDN w:val="0"/>
              <w:adjustRightInd w:val="0"/>
              <w:spacing w:after="0" w:line="240" w:lineRule="auto"/>
              <w:jc w:val="both"/>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Близость к московской агломерации и границе РФ с Белоруссией.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Развитая транспортная инфраструктура (автомобильная и железнодорожная).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Наличие магистральных нефте- и газопроводов.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Наличие комплекса культурно-исторических ценностей.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Экологически чистые территории.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Наличие сырьевых ресурсов: леса, торфа, природного камня.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Высокая доля неиспользуемых сельскохозяйственных площадей.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8. Качественные человеческие ресурсы.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 Избыточная энергообеспеченность региона.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 Наличие научно-производственной базы</w:t>
            </w:r>
          </w:p>
        </w:tc>
        <w:tc>
          <w:tcPr>
            <w:tcW w:w="48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Слабые стороны (W)</w:t>
            </w:r>
          </w:p>
          <w:p w:rsidR="00703D06" w:rsidRDefault="00703D06">
            <w:pPr>
              <w:widowControl w:val="0"/>
              <w:autoSpaceDE w:val="0"/>
              <w:autoSpaceDN w:val="0"/>
              <w:adjustRightInd w:val="0"/>
              <w:spacing w:after="0" w:line="240" w:lineRule="auto"/>
              <w:jc w:val="both"/>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Негативный имидж Смоленской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Дефицитный бюджет.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Отсутствие эффективной системы работы с инвестором (административные барьеры, отсутствие единого информационного пространства для инвестора, отсутствие ряда нормативных правовых актов в сфере инвестиционного политики).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Нестабильность политической ситуации в регионе (частая смена губернаторов).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Слабость инновационной составляющей в промышленности.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Низкая конкурентоспособность ряда товаров.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7. Отсутствие бизнес-инкубаторов, индустриальных парков, технопарков агропромпарков.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Вытеснение продукции предприятий области (в основном легкой и пищевой промышленности) продукцией иностранного производства.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 Дефицит кадров из-за возникших демографических диспропорций.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 Недостаточный уровень развития системы профтехобразования и отсутствие системы профориентации.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 Низкая емкость внутреннего рынка (небольшое количество населения, относительно низкий уровень потребительских расходов).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 Территориальные диспропорции экономического развития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 Отсутствие действующего аэропорта</w:t>
            </w:r>
          </w:p>
        </w:tc>
      </w:tr>
      <w:tr w:rsidR="00703D06">
        <w:tc>
          <w:tcPr>
            <w:tcW w:w="4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Возможности (O)</w:t>
            </w:r>
          </w:p>
          <w:p w:rsidR="00703D06" w:rsidRDefault="00703D06">
            <w:pPr>
              <w:widowControl w:val="0"/>
              <w:autoSpaceDE w:val="0"/>
              <w:autoSpaceDN w:val="0"/>
              <w:adjustRightInd w:val="0"/>
              <w:spacing w:after="0" w:line="240" w:lineRule="auto"/>
              <w:jc w:val="both"/>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Переход от пассивной к активной производственно-технологической кооперации с предприятиями Белоруссии и стран Евросоюза.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Развитие производства товаров народного потребления (FMCG) для реализации на территории московской агломерации.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Организация транспортно-логистических центров.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Ускоренное развитие экспортных производств товаров с высокой добавленной стоимостью.</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5. Внедрение инновационных технологий, предполагающих резкое сокращение </w:t>
            </w:r>
            <w:r>
              <w:rPr>
                <w:rFonts w:ascii="Calibri" w:hAnsi="Calibri" w:cs="Calibri"/>
              </w:rPr>
              <w:lastRenderedPageBreak/>
              <w:t>использования трудовых, материальных и энергетических ресурсов.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Снижение зависимости экономики области от изменений цен на топливо и энергоресурсы.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Создание системы профтехобразования, ориентированной на потребности экономики области, развитие системы профориентации.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Вовлечение в сельскохозяйственное производство неиспользуемых сельхозугодий.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 Развитие туризма.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 Возможности локализации производства в Смоленской области для белорусского и украинского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 Возможность создания кластера композитных материалов</w:t>
            </w:r>
          </w:p>
        </w:tc>
        <w:tc>
          <w:tcPr>
            <w:tcW w:w="48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Угрозы (T)</w:t>
            </w:r>
          </w:p>
          <w:p w:rsidR="00703D06" w:rsidRDefault="00703D06">
            <w:pPr>
              <w:widowControl w:val="0"/>
              <w:autoSpaceDE w:val="0"/>
              <w:autoSpaceDN w:val="0"/>
              <w:adjustRightInd w:val="0"/>
              <w:spacing w:after="0" w:line="240" w:lineRule="auto"/>
              <w:jc w:val="both"/>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Отток квалифицированных кадров из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Старение населения, резкий рост социальной нагрузки. Высокая скорость сокращения численности населения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Относительно высокий уровень заработной платы по сравнению с регионами конкурентами.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Рост доли импорта на рынке области и свертывание производства на территории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Дальнейшее отставание по темпам социально-экономического развития от регионов-лидеров.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Вероятность техногенных аварий из-за наличия в регионе нефте- и газопроводов и АЭС.</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7. Конкуренция за инвесторов с другими </w:t>
            </w:r>
            <w:r>
              <w:rPr>
                <w:rFonts w:ascii="Calibri" w:hAnsi="Calibri" w:cs="Calibri"/>
              </w:rPr>
              <w:lastRenderedPageBreak/>
              <w:t>регионами Центрального федерального округа.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Проблемы во взаимодействии между областной и городской администрациями при распоряжении земельными участками в г. Смоленске</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32" w:name="Par279"/>
      <w:bookmarkEnd w:id="32"/>
      <w:r>
        <w:rPr>
          <w:rFonts w:ascii="Calibri" w:hAnsi="Calibri" w:cs="Calibri"/>
        </w:rPr>
        <w:t>2.2. ТЕКУЩИЕ КОНКУРЕНТНЫЕ ПРЕИМУЩЕСТВА И НЕДОСТАТКИ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точки зрения инвестиционной привлекательности текущими конкурентными преимуществами области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Выгодное географическое положение.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Относительно сильно развитая транспортная инфраструктура.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Наличие собственных сырьевых ресурсов, магистральных нефте- и газопроводов, самодостаточность области в электроэнергии.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Экологически чистые территории с большой долей неиспользуемых сельскохозяйственных площадей.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Комплекс культурно-исторических туристических ресурсов.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Текущими слабыми сторонами области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Недостаточно развитая инвестиционная инфраструктура (бизнес-инкубаторы, технопарки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Нестабильность политической ситуации в регионе (частая смена губернаторов).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Низкий объем инновационного производства (3324,3 млн. руб. в год в среднем), что говорит о низком развитии рынка инновационных технологий и о малой привлекательности территории для локализации инновационного бизнеса.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Низкая конкурентоспособность ряда продукции предприятий области (в основном легкой и пищевой промышленности), вытеснение продукцией иностранного производства.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Дефицит трудовых ресурсов, несоответствие структуры и качества подготовки кадров требованиям рынка, отсутствие системы профориентации.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Территориальные диспропорции экономического развития области, демографические диспропорции.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Малая емкость внутреннего рынка, что предопределяет относительно слабое развитие сектора платных услуг.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Отсутствие действующего аэропорта, что говорит о низком развитии воздушных перевозок грузов.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Текущие слабые стороны области могут быть усугублены за счет реализации существующих угроз:</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усиления конкурентного давления в привлечении инвестиций со стороны других регионов Центрального федерального округа;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дальнейшего роста доли импорта на рынке области и свертывания собственных производств;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дальнейшего снижения темпов социально-экономического развития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сохранения скорости сокращения численности населения области, роста социальной нагрузки;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прогрессирования оттока молодежи и квалифицированных кадров из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неразрешенности проблем во взаимодействии между областной и городской администрациями при распоряжении земельными участками в г. Смоленске.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с точки зрения инвестиционной привлекательности в настоящий момент область обладает умеренным потенциалом. Степень использования текущих конкурентных преимуществ пока недостаточна. В сложившейся ситуации для улучшения конкурентных позиций по сравнению с регионами-конкурентами необходима активная работа по снижению инвестиционных рисков (особенно криминального, социального, финансового и экономического), а также формирования благоприятного инвестиционного климата путем внедрения Стандарта деятельности органов исполнительной власти субъекта РФ по обеспечению благоприятного инвестиционного климата в регионе, разработанного АНО "Агентство стратегических инициатив по продвижению новых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Существующие конкурентные преимущества области могут быть усилены за счет реализации существующих возможностей: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дальнейшего развития транспортной инфраструктуры за счет географического </w:t>
      </w:r>
      <w:r>
        <w:rPr>
          <w:rFonts w:ascii="Calibri" w:hAnsi="Calibri" w:cs="Calibri"/>
        </w:rPr>
        <w:lastRenderedPageBreak/>
        <w:t>расположения области вблизи от государственных границ, международных транспортных коридоров, основных рынков сбыта - строительства логистических центров, интермодальных узлов, транспортных магистралей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развития производственно-технологической кооперации с предприятиями Белоруссии и стран Евросоюза, локализации производств белорусского и украинского бизнеса в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стимулирования развития отраслей, опирающихся на существующую сырьевую базу области (производства строительных материалов, торфяной и деревообрабатывающей промышленности, химической промышленности, пищевой промышленности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развития производства товаров народного потребления (FMCG), товаров с высокой добавленной стоимостью;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внедрения инновационных технологий, направленных на снижение зависимости экономики области от изменений цен на топливо и энергоресурсы;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развития системы профтехобразования, ориентированной на потребности экономики области и потенциальных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введения в оборот неиспользуемых сельхозугодий для нужд агропромышленного комплекса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развития культурно-познавательного, экологического, этнографического туризма, охоты и рыбалки.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Мерами сдерживания слабых сторон области могут стать: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территориальные диспропорции в регионе могут быть сглажены с помощью целевых программ по привлечению инвестиций в наиболее депрессивные районы. При этом в таких районах необходимо размещение предприятий преимущественно с низкими удельными трудозатратами;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кластерной политики для ускорения развития отраслей экономики Смоленской области (агропромышленного комплекса, деревообрабатывающей промышленности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открытие на базе аэродрома "Северный" международного аэропорта двойного назначения (транспортно-пассажирского) для перехвата части пассажиро- и грузопотока аэропортов московского авиаузла за счет более низких тарифов на обслуживание.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33" w:name="Par319"/>
      <w:bookmarkEnd w:id="33"/>
      <w:r>
        <w:rPr>
          <w:rFonts w:ascii="Calibri" w:hAnsi="Calibri" w:cs="Calibri"/>
        </w:rPr>
        <w:t>3. ВИДЕНИЕ РЕЗУЛЬТАТА РЕАЛИЗАЦИИ СТРАТЕГИИ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 материалам Стратегической сессии 21 марта 2014 года)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реализации Инвестиционной стратегии будет сформирован качественно новый образ Смоленской области для иностранных, российских (нерезидентов Смоленской области) и внутренних региональных (резидентов Смоленской области)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Смоленская область - регион, ориентированный на привлечение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инвестиций является одним из приоритетных направлений развития Смоленской области. Органы власти региона всегда открыты для диалога с предпринимателями и инвесторами. Диалог строится на основании следующих принципов: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равенство - недискриминационный подход ко всем предпринимателям и инвесторам;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вовлеченность - участие предпринимателей и инвесторов в процессе принятия государственных решений и оценки их реализации;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прозрачность - общедоступность документированной информации органов власти;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лучшие практики - ориентация административных процедур и регулирования на лучшую с точки зрения интересов предпринимателей и инвесторов практику взаимодействия субъектов РФ с предпринимателями и инвесторами.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Смоленская область - территория комфортного бизнеса.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регионе созданы все необходимые условия для осуществления предпринимательской и инвестиционной деятельности: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приняты нормативные правовые акты о защите прав инвесторов и механизмах поддержки инвестиционной деятельности; акты, регламентирующие процедуру оценки регулирующего воздействия принятых и принимаемых нормативных правовых актов, затрагивающих предпринимательскую деятельность.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созданы и успешно функционируют Совет по улучшению инвестиционного климата, </w:t>
      </w:r>
      <w:r>
        <w:rPr>
          <w:rFonts w:ascii="Calibri" w:hAnsi="Calibri" w:cs="Calibri"/>
        </w:rPr>
        <w:lastRenderedPageBreak/>
        <w:t>специализированная организация по привлечению инвестиций и работе с инвесторами;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создана доступная инфраструктура для размещения производственных и иных объектов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 удобный Интернет-портал об инвестиционной деятельности; принят единый регламент сопровождения инвестиционных проектов по принципу "одного окна";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создана эффективная система подготовки и переподготовки кадров по необходимым специальностям; рост профессионализма сотрудников органов власти.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Смоленская область - территория комфортного получения дохода.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Губернатор Смоленской области гарантирует предпринимателям и инвесторам: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безопасность ведения предпринимательской и инвестиционной деятельности;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минимизацию сроков и упрощение процедур выдачи разрешительной документации для предпринимателей и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оперативное решение проблем и вопросов, возникающих в процессе инвестиционной деятельности.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34" w:name="Par342"/>
      <w:bookmarkEnd w:id="34"/>
      <w:r>
        <w:rPr>
          <w:rFonts w:ascii="Calibri" w:hAnsi="Calibri" w:cs="Calibri"/>
        </w:rPr>
        <w:t>4. ПРОГНОЗНЫЕ СЦЕНАРИИ РАЗВИТИЯ МИРОВОЙ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уточнения формируемых прогнозных значений Инвестиционной стратегии проанализированы различные сценарии развития мировой экономики вплоть до 2030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w:t>
      </w:r>
      <w:hyperlink r:id="rId19" w:history="1">
        <w:r>
          <w:rPr>
            <w:rFonts w:ascii="Calibri" w:hAnsi="Calibri" w:cs="Calibri"/>
            <w:color w:val="0000FF"/>
          </w:rPr>
          <w:t>Прогноз</w:t>
        </w:r>
      </w:hyperlink>
      <w:r>
        <w:rPr>
          <w:rFonts w:ascii="Calibri" w:hAnsi="Calibri" w:cs="Calibri"/>
        </w:rPr>
        <w:t xml:space="preserve"> долгосрочного социально-экономического развития Российской Федерации на период до 2030 года" </w:t>
      </w:r>
      <w:hyperlink w:anchor="Par347" w:history="1">
        <w:r>
          <w:rPr>
            <w:rFonts w:ascii="Calibri" w:hAnsi="Calibri" w:cs="Calibri"/>
            <w:color w:val="0000FF"/>
          </w:rPr>
          <w:t>&lt;9&gt;</w:t>
        </w:r>
      </w:hyperlink>
      <w:r>
        <w:rPr>
          <w:rFonts w:ascii="Calibri" w:hAnsi="Calibri" w:cs="Calibri"/>
        </w:rPr>
        <w:t xml:space="preserve"> и соответствующая Пояснительная записка </w:t>
      </w:r>
      <w:hyperlink w:anchor="Par348" w:history="1">
        <w:r>
          <w:rPr>
            <w:rFonts w:ascii="Calibri" w:hAnsi="Calibri" w:cs="Calibri"/>
            <w:color w:val="0000FF"/>
          </w:rPr>
          <w:t>&lt;10&gt;</w:t>
        </w:r>
      </w:hyperlink>
      <w:r>
        <w:rPr>
          <w:rFonts w:ascii="Calibri" w:hAnsi="Calibri" w:cs="Calibri"/>
        </w:rPr>
        <w:t>, подготовленные Министерством экономического развития Российской Федерации (далее - МЭР РФ) в 2013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5" w:name="Par347"/>
      <w:bookmarkEnd w:id="35"/>
      <w:r>
        <w:rPr>
          <w:rFonts w:ascii="Calibri" w:hAnsi="Calibri" w:cs="Calibri"/>
        </w:rPr>
        <w:t>&lt;9&gt; http://www.economy.gov.ru/wps/wcm/connect/economylib4/mer/activity/sections/macro/prognoz/doc20130325_06.</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6" w:name="Par348"/>
      <w:bookmarkEnd w:id="36"/>
      <w:r>
        <w:rPr>
          <w:rFonts w:ascii="Calibri" w:hAnsi="Calibri" w:cs="Calibri"/>
        </w:rPr>
        <w:t>&lt;10&gt; http://www.economy.gov.ru/wps/wcm/connect/economylib4/mer/activity/sections/macro/prognoz/doc20131108_5.</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доклад "Глобальные тенденции 2030. Альтернативные миры" (Global Trends 2030: Alternative Worlds) </w:t>
      </w:r>
      <w:hyperlink w:anchor="Par352" w:history="1">
        <w:r>
          <w:rPr>
            <w:rFonts w:ascii="Calibri" w:hAnsi="Calibri" w:cs="Calibri"/>
            <w:color w:val="0000FF"/>
          </w:rPr>
          <w:t>&lt;11&gt;</w:t>
        </w:r>
      </w:hyperlink>
      <w:r>
        <w:rPr>
          <w:rFonts w:ascii="Calibri" w:hAnsi="Calibri" w:cs="Calibri"/>
        </w:rPr>
        <w:t>, подготовленный в декабре 2012 года Национальным советом по разведке США (National Intelligence Council). Доклад содержит прогнозы и различные варианты развития мировой экономики, геополитики и других сфер жизни вплоть до 2030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7" w:name="Par352"/>
      <w:bookmarkEnd w:id="37"/>
      <w:r>
        <w:rPr>
          <w:rFonts w:ascii="Calibri" w:hAnsi="Calibri" w:cs="Calibri"/>
        </w:rPr>
        <w:t>&lt;11&gt; http://www.dni.gov/files/documents/GlobalTrends_2030.pdf.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sidRPr="000F414C">
        <w:rPr>
          <w:rFonts w:ascii="Calibri" w:hAnsi="Calibri" w:cs="Calibri"/>
          <w:lang w:val="en-US"/>
        </w:rPr>
        <w:t xml:space="preserve">- </w:t>
      </w:r>
      <w:r>
        <w:rPr>
          <w:rFonts w:ascii="Calibri" w:hAnsi="Calibri" w:cs="Calibri"/>
        </w:rPr>
        <w:t>доклад</w:t>
      </w:r>
      <w:r w:rsidRPr="000F414C">
        <w:rPr>
          <w:rFonts w:ascii="Calibri" w:hAnsi="Calibri" w:cs="Calibri"/>
          <w:lang w:val="en-US"/>
        </w:rPr>
        <w:t xml:space="preserve"> "</w:t>
      </w:r>
      <w:r>
        <w:rPr>
          <w:rFonts w:ascii="Calibri" w:hAnsi="Calibri" w:cs="Calibri"/>
        </w:rPr>
        <w:t>Перспективы</w:t>
      </w:r>
      <w:r w:rsidRPr="000F414C">
        <w:rPr>
          <w:rFonts w:ascii="Calibri" w:hAnsi="Calibri" w:cs="Calibri"/>
          <w:lang w:val="en-US"/>
        </w:rPr>
        <w:t xml:space="preserve"> </w:t>
      </w:r>
      <w:r>
        <w:rPr>
          <w:rFonts w:ascii="Calibri" w:hAnsi="Calibri" w:cs="Calibri"/>
        </w:rPr>
        <w:t>мирового</w:t>
      </w:r>
      <w:r w:rsidRPr="000F414C">
        <w:rPr>
          <w:rFonts w:ascii="Calibri" w:hAnsi="Calibri" w:cs="Calibri"/>
          <w:lang w:val="en-US"/>
        </w:rPr>
        <w:t xml:space="preserve"> </w:t>
      </w:r>
      <w:r>
        <w:rPr>
          <w:rFonts w:ascii="Calibri" w:hAnsi="Calibri" w:cs="Calibri"/>
        </w:rPr>
        <w:t>развития</w:t>
      </w:r>
      <w:r w:rsidRPr="000F414C">
        <w:rPr>
          <w:rFonts w:ascii="Calibri" w:hAnsi="Calibri" w:cs="Calibri"/>
          <w:lang w:val="en-US"/>
        </w:rPr>
        <w:t xml:space="preserve">: </w:t>
      </w:r>
      <w:r>
        <w:rPr>
          <w:rFonts w:ascii="Calibri" w:hAnsi="Calibri" w:cs="Calibri"/>
        </w:rPr>
        <w:t>Капитал</w:t>
      </w:r>
      <w:r w:rsidRPr="000F414C">
        <w:rPr>
          <w:rFonts w:ascii="Calibri" w:hAnsi="Calibri" w:cs="Calibri"/>
          <w:lang w:val="en-US"/>
        </w:rPr>
        <w:t xml:space="preserve"> </w:t>
      </w:r>
      <w:r>
        <w:rPr>
          <w:rFonts w:ascii="Calibri" w:hAnsi="Calibri" w:cs="Calibri"/>
        </w:rPr>
        <w:t>для</w:t>
      </w:r>
      <w:r w:rsidRPr="000F414C">
        <w:rPr>
          <w:rFonts w:ascii="Calibri" w:hAnsi="Calibri" w:cs="Calibri"/>
          <w:lang w:val="en-US"/>
        </w:rPr>
        <w:t xml:space="preserve"> </w:t>
      </w:r>
      <w:r>
        <w:rPr>
          <w:rFonts w:ascii="Calibri" w:hAnsi="Calibri" w:cs="Calibri"/>
        </w:rPr>
        <w:t>будущего</w:t>
      </w:r>
      <w:r w:rsidRPr="000F414C">
        <w:rPr>
          <w:rFonts w:ascii="Calibri" w:hAnsi="Calibri" w:cs="Calibri"/>
          <w:lang w:val="en-US"/>
        </w:rPr>
        <w:t xml:space="preserve">" (Global Development Horizons: Capital for the Future: Saving and Investment in an Interdependent World) </w:t>
      </w:r>
      <w:hyperlink w:anchor="Par356" w:history="1">
        <w:r w:rsidRPr="000F414C">
          <w:rPr>
            <w:rFonts w:ascii="Calibri" w:hAnsi="Calibri" w:cs="Calibri"/>
            <w:color w:val="0000FF"/>
            <w:lang w:val="en-US"/>
          </w:rPr>
          <w:t>&lt;12&gt;</w:t>
        </w:r>
      </w:hyperlink>
      <w:r w:rsidRPr="000F414C">
        <w:rPr>
          <w:rFonts w:ascii="Calibri" w:hAnsi="Calibri" w:cs="Calibri"/>
          <w:lang w:val="en-US"/>
        </w:rPr>
        <w:t xml:space="preserve">, </w:t>
      </w:r>
      <w:r>
        <w:rPr>
          <w:rFonts w:ascii="Calibri" w:hAnsi="Calibri" w:cs="Calibri"/>
        </w:rPr>
        <w:t>подготовленный</w:t>
      </w:r>
      <w:r w:rsidRPr="000F414C">
        <w:rPr>
          <w:rFonts w:ascii="Calibri" w:hAnsi="Calibri" w:cs="Calibri"/>
          <w:lang w:val="en-US"/>
        </w:rPr>
        <w:t xml:space="preserve"> </w:t>
      </w:r>
      <w:r>
        <w:rPr>
          <w:rFonts w:ascii="Calibri" w:hAnsi="Calibri" w:cs="Calibri"/>
        </w:rPr>
        <w:t>в</w:t>
      </w:r>
      <w:r w:rsidRPr="000F414C">
        <w:rPr>
          <w:rFonts w:ascii="Calibri" w:hAnsi="Calibri" w:cs="Calibri"/>
          <w:lang w:val="en-US"/>
        </w:rPr>
        <w:t xml:space="preserve"> 2013 </w:t>
      </w:r>
      <w:r>
        <w:rPr>
          <w:rFonts w:ascii="Calibri" w:hAnsi="Calibri" w:cs="Calibri"/>
        </w:rPr>
        <w:t>году</w:t>
      </w:r>
      <w:r w:rsidRPr="000F414C">
        <w:rPr>
          <w:rFonts w:ascii="Calibri" w:hAnsi="Calibri" w:cs="Calibri"/>
          <w:lang w:val="en-US"/>
        </w:rPr>
        <w:t xml:space="preserve"> </w:t>
      </w:r>
      <w:r>
        <w:rPr>
          <w:rFonts w:ascii="Calibri" w:hAnsi="Calibri" w:cs="Calibri"/>
        </w:rPr>
        <w:t>Всемирным</w:t>
      </w:r>
      <w:r w:rsidRPr="000F414C">
        <w:rPr>
          <w:rFonts w:ascii="Calibri" w:hAnsi="Calibri" w:cs="Calibri"/>
          <w:lang w:val="en-US"/>
        </w:rPr>
        <w:t xml:space="preserve"> </w:t>
      </w:r>
      <w:r>
        <w:rPr>
          <w:rFonts w:ascii="Calibri" w:hAnsi="Calibri" w:cs="Calibri"/>
        </w:rPr>
        <w:t>банком</w:t>
      </w:r>
      <w:r w:rsidRPr="000F414C">
        <w:rPr>
          <w:rFonts w:ascii="Calibri" w:hAnsi="Calibri" w:cs="Calibri"/>
          <w:lang w:val="en-US"/>
        </w:rPr>
        <w:t xml:space="preserve"> (The World Bank). </w:t>
      </w:r>
      <w:r>
        <w:rPr>
          <w:rFonts w:ascii="Calibri" w:hAnsi="Calibri" w:cs="Calibri"/>
        </w:rPr>
        <w:t>В докладе анализируются глобальные тенденции в сфере инвестиций, сбережений и потоков капитала, а также их вероятная динамика в ближайшие два десятилетия.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8" w:name="Par356"/>
      <w:bookmarkEnd w:id="38"/>
      <w:r>
        <w:rPr>
          <w:rFonts w:ascii="Calibri" w:hAnsi="Calibri" w:cs="Calibri"/>
        </w:rPr>
        <w:t>&lt;12&gt; http://siteresources.worldbank.org/EXTDECPROSPECTS/Resources/476882-1368197310537/CapitalForTheFuture.pdf.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доклад "TREND COMPENDIUM 2030" </w:t>
      </w:r>
      <w:hyperlink w:anchor="Par360" w:history="1">
        <w:r>
          <w:rPr>
            <w:rFonts w:ascii="Calibri" w:hAnsi="Calibri" w:cs="Calibri"/>
            <w:color w:val="0000FF"/>
          </w:rPr>
          <w:t>&lt;13&gt;</w:t>
        </w:r>
      </w:hyperlink>
      <w:r>
        <w:rPr>
          <w:rFonts w:ascii="Calibri" w:hAnsi="Calibri" w:cs="Calibri"/>
        </w:rPr>
        <w:t>, подготовленный в 2011 году компанией "Роланд Бергер Стрэтеджи Консалтентс" (Roland Berger Strategy Consultants, Германия). В докладе представлены глобальные прогнозы развития мира до 2030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9" w:name="Par360"/>
      <w:bookmarkEnd w:id="39"/>
      <w:r>
        <w:rPr>
          <w:rFonts w:ascii="Calibri" w:hAnsi="Calibri" w:cs="Calibri"/>
        </w:rPr>
        <w:t>&lt;13&gt; http://www.rolandberger.com/expertise/trend_compendium_2030/index.html.</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части консервативного варианта развития событий по темпам прироста мировой экономики авторы докладов Национального совета по разведке США и Всемирного банка в целом </w:t>
      </w:r>
      <w:r>
        <w:rPr>
          <w:rFonts w:ascii="Calibri" w:hAnsi="Calibri" w:cs="Calibri"/>
        </w:rPr>
        <w:lastRenderedPageBreak/>
        <w:t>солидарны в своих прогнозах с МЭР РФ ("Вариант А"): увеличение мирового ВВП к 2030 году примерно в 1,6 раза при среднегодовом уровне роста в 2,9%.</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Аналогичная ситуация складывается в части умеренно-оптимистичного варианта развития событий по темпам прироста мировой экономики. Прогнозы Всемирного банка и Национального совета по разведке США в целом согласуются с прогнозами МЭР РФ ("Базовый"): увеличение мирового ВВП к 2030 году в 1,8 раза при среднегодовом уровне роста в 3,4 - 3,5%.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 касается оптимистичного варианта развития событий, то таким может считаться мнение специалистов компании "Роланд Бергер Стрэтеджи Консалтентс" об увеличении мирового ВВП в 2,17 раза при среднегодовом уровне роста в 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Вывод: В соответствии с результатами анализа различных вариантов сценариев развития мировой экономики в качестве основных предлагается использовать сценарии "Прогноза долгосрочного социально-экономического развития Российской Федерации на период до 2030 года", подготовленного МЭР РФ. Учитывая факт оперативной корректировки и поддержания актуальности исходных данных, указанные сценарии могут в среднесрочной перспективе отражать более объективную картину развития мировой и отечественной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Более подробное описание прогнозных </w:t>
      </w:r>
      <w:hyperlink w:anchor="Par6268" w:history="1">
        <w:r>
          <w:rPr>
            <w:rFonts w:ascii="Calibri" w:hAnsi="Calibri" w:cs="Calibri"/>
            <w:color w:val="0000FF"/>
          </w:rPr>
          <w:t>сценариев</w:t>
        </w:r>
      </w:hyperlink>
      <w:r>
        <w:rPr>
          <w:rFonts w:ascii="Calibri" w:hAnsi="Calibri" w:cs="Calibri"/>
        </w:rPr>
        <w:t xml:space="preserve"> развития мировой экономики приведено в приложении 3 к настоящему документу.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40" w:name="Par368"/>
      <w:bookmarkEnd w:id="40"/>
      <w:r>
        <w:rPr>
          <w:rFonts w:ascii="Calibri" w:hAnsi="Calibri" w:cs="Calibri"/>
        </w:rPr>
        <w:t>5. ПРОГНОЗНЫЕ СЦЕНАРИИ РАЗВИТИЯ РОССИЙСКОЙ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уточнения формируемых прогнозных значений Инвестиционной стратегии проанализированы различные сценарии развития российской экономики вплоть до 2030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w:t>
      </w:r>
      <w:hyperlink r:id="rId20" w:history="1">
        <w:r>
          <w:rPr>
            <w:rFonts w:ascii="Calibri" w:hAnsi="Calibri" w:cs="Calibri"/>
            <w:color w:val="0000FF"/>
          </w:rPr>
          <w:t>Прогноз</w:t>
        </w:r>
      </w:hyperlink>
      <w:r>
        <w:rPr>
          <w:rFonts w:ascii="Calibri" w:hAnsi="Calibri" w:cs="Calibri"/>
        </w:rPr>
        <w:t xml:space="preserve"> долгосрочного социально-экономического развития Российской Федерации на период до 2030 года" </w:t>
      </w:r>
      <w:hyperlink w:anchor="Par373" w:history="1">
        <w:r>
          <w:rPr>
            <w:rFonts w:ascii="Calibri" w:hAnsi="Calibri" w:cs="Calibri"/>
            <w:color w:val="0000FF"/>
          </w:rPr>
          <w:t>&lt;14&gt;</w:t>
        </w:r>
      </w:hyperlink>
      <w:r>
        <w:rPr>
          <w:rFonts w:ascii="Calibri" w:hAnsi="Calibri" w:cs="Calibri"/>
        </w:rPr>
        <w:t xml:space="preserve"> и соответствующая Пояснительная записка </w:t>
      </w:r>
      <w:hyperlink w:anchor="Par374" w:history="1">
        <w:r>
          <w:rPr>
            <w:rFonts w:ascii="Calibri" w:hAnsi="Calibri" w:cs="Calibri"/>
            <w:color w:val="0000FF"/>
          </w:rPr>
          <w:t>&lt;15&gt;</w:t>
        </w:r>
      </w:hyperlink>
      <w:r>
        <w:rPr>
          <w:rFonts w:ascii="Calibri" w:hAnsi="Calibri" w:cs="Calibri"/>
        </w:rPr>
        <w:t>, подготовленные Министерством экономического развития Российской Федерации (далее - МЭР РФ) в 2013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1" w:name="Par373"/>
      <w:bookmarkEnd w:id="41"/>
      <w:r>
        <w:rPr>
          <w:rFonts w:ascii="Calibri" w:hAnsi="Calibri" w:cs="Calibri"/>
        </w:rPr>
        <w:t>&lt;14&gt; http://www.economy.gov.ru/wps/wcm/connect/economylib4/mer/activity/sections/macro/prognoz/doc20130325_06.</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2" w:name="Par374"/>
      <w:bookmarkEnd w:id="42"/>
      <w:r>
        <w:rPr>
          <w:rFonts w:ascii="Calibri" w:hAnsi="Calibri" w:cs="Calibri"/>
        </w:rPr>
        <w:t>&lt;15&gt; http://www.economy.gov.ru/wps/wcm/connect/economylib4/mer/activity/sections/macro/prognoz/doc20131108_5.</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доклад "Глобальные тенденции 2030. Альтернативные миры" (Global Trends 2030: Alternative Worlds) </w:t>
      </w:r>
      <w:hyperlink w:anchor="Par378" w:history="1">
        <w:r>
          <w:rPr>
            <w:rFonts w:ascii="Calibri" w:hAnsi="Calibri" w:cs="Calibri"/>
            <w:color w:val="0000FF"/>
          </w:rPr>
          <w:t>&lt;16&gt;</w:t>
        </w:r>
      </w:hyperlink>
      <w:r>
        <w:rPr>
          <w:rFonts w:ascii="Calibri" w:hAnsi="Calibri" w:cs="Calibri"/>
        </w:rPr>
        <w:t>, подготовленный в декабре 2012 года Национальным советом по разведке США (National Intelligence Council). Доклад содержит прогнозы и различные варианты развития мировой экономики, геополитики и других сфер жизни вплоть до 2030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3" w:name="Par378"/>
      <w:bookmarkEnd w:id="43"/>
      <w:r>
        <w:rPr>
          <w:rFonts w:ascii="Calibri" w:hAnsi="Calibri" w:cs="Calibri"/>
        </w:rPr>
        <w:t>&lt;16&gt; http://www.dni.gov/files/documents/GlobalTrends_2030.pdf.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доклад "TREND COMPENDIUM 2030" </w:t>
      </w:r>
      <w:hyperlink w:anchor="Par382" w:history="1">
        <w:r>
          <w:rPr>
            <w:rFonts w:ascii="Calibri" w:hAnsi="Calibri" w:cs="Calibri"/>
            <w:color w:val="0000FF"/>
          </w:rPr>
          <w:t>&lt;17&gt;</w:t>
        </w:r>
      </w:hyperlink>
      <w:r>
        <w:rPr>
          <w:rFonts w:ascii="Calibri" w:hAnsi="Calibri" w:cs="Calibri"/>
        </w:rPr>
        <w:t>, подготовленный в 2011 году компанией "Роланд Бергер Стрэтеджи Консалтентс" (Roland Berger Strategy Consultants, Германия). В докладе представлены глобальные прогнозы развития мира до 2030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4" w:name="Par382"/>
      <w:bookmarkEnd w:id="44"/>
      <w:r>
        <w:rPr>
          <w:rFonts w:ascii="Calibri" w:hAnsi="Calibri" w:cs="Calibri"/>
        </w:rPr>
        <w:t>&lt;17&gt; http://www.rolandberger.com/expertise/trend_compendium_2030/index.html.</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консенсус-прогноз развития российской экономики "Новый КГБ (Комментарии о государстве и бизнесе)" до 2022 года </w:t>
      </w:r>
      <w:hyperlink w:anchor="Par386" w:history="1">
        <w:r>
          <w:rPr>
            <w:rFonts w:ascii="Calibri" w:hAnsi="Calibri" w:cs="Calibri"/>
            <w:color w:val="0000FF"/>
          </w:rPr>
          <w:t>&lt;18&gt;</w:t>
        </w:r>
      </w:hyperlink>
      <w:r>
        <w:rPr>
          <w:rFonts w:ascii="Calibri" w:hAnsi="Calibri" w:cs="Calibri"/>
        </w:rPr>
        <w:t>, подготовленный в конце 2013 года институтом "Центр развития" Национального исследовательского университета "Высшая школа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5" w:name="Par386"/>
      <w:bookmarkEnd w:id="45"/>
      <w:r>
        <w:rPr>
          <w:rFonts w:ascii="Calibri" w:hAnsi="Calibri" w:cs="Calibri"/>
        </w:rPr>
        <w:t>&lt;18&gt; http://opec.ru/data/2013/11/07/1234049015/KGB_57f.pdf.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взгляд на перспективы российской экономики со стороны банковского сектора представлен ОАО "Сбербанк России" (далее - Сбербанк) в рамках разработки среднесрочной </w:t>
      </w:r>
      <w:r>
        <w:rPr>
          <w:rFonts w:ascii="Calibri" w:hAnsi="Calibri" w:cs="Calibri"/>
        </w:rPr>
        <w:lastRenderedPageBreak/>
        <w:t xml:space="preserve">стратегии развития банка на период 2014 - 2018 гг. </w:t>
      </w:r>
      <w:hyperlink w:anchor="Par390" w:history="1">
        <w:r>
          <w:rPr>
            <w:rFonts w:ascii="Calibri" w:hAnsi="Calibri" w:cs="Calibri"/>
            <w:color w:val="0000FF"/>
          </w:rPr>
          <w:t>&lt;19&gt;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6" w:name="Par390"/>
      <w:bookmarkEnd w:id="46"/>
      <w:r>
        <w:rPr>
          <w:rFonts w:ascii="Calibri" w:hAnsi="Calibri" w:cs="Calibri"/>
        </w:rPr>
        <w:t>&lt;19&gt; https://sberbank.ru/moscow/ru/about/today/strategy_2018/.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части консервативного варианта развития событий по темпам прироста российской экономики авторы докладов НИИ "Высшая школа экономики" и МЭР РФ ("Консервативный прогноз") в целом солидарны: среднегодовые темпы роста ВВП оценивались на уровне 2,5%, мнение Национального совета по разведке США и Сбербанка несколько пессимистичней.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Что касается вариантов умеренно-оптимистичного развития событий по темпам прироста российской экономики, то авторы докладов Сбербанк и МЭР РФ ("Умеренно-оптимистичный сценарий") в целом солидарны: среднегодовые темпы роста ВВП оценивались на уровне 3,5%.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Мнение специалистов компании "Роланд Бергер Стрэтеджи Консалтентс" совпадает с мнением МЭР РФ в части форсированного сценария развития российской экономики: оценки среднегодовых темпов роста ВВП были на уровне 5,3% и 5,0 - 5,3% соответственно. Оптимистический сценарий "Невысокий рост, квазистабильный рубль" Сбербанка предполагал среднегодовые темпы роста ВВП на уровне 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Однако на фоне осложнения геополитической обстановки экономическая ситуация в 2014 году продолжала ухудшаться. По оценке МЭР РФ, в I квартале 2014 г. ВВП снизился на 0,5% (по отношению к предыдущему кварталу, с исключением сезонности), во II квартале падение прекратилось, однако рост экономики с исключением календарного и сезонного факторов остается на нулевой отметке </w:t>
      </w:r>
      <w:hyperlink w:anchor="Par397" w:history="1">
        <w:r>
          <w:rPr>
            <w:rFonts w:ascii="Calibri" w:hAnsi="Calibri" w:cs="Calibri"/>
            <w:color w:val="0000FF"/>
          </w:rPr>
          <w:t>&lt;20&gt;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7" w:name="Par397"/>
      <w:bookmarkEnd w:id="47"/>
      <w:r>
        <w:rPr>
          <w:rFonts w:ascii="Calibri" w:hAnsi="Calibri" w:cs="Calibri"/>
        </w:rPr>
        <w:t>&lt;20&gt; http://economy.gov.ru/minec/activity/sections/macro/prognoz/201409261.</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данным Росстата, динамика ВВП к соответствующему периоду предыдущего года замедлилась с 2% в IV квартале 2013 г. до 0,9% в I квартале и 0,8% во II квартале 2014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стороны внутреннего спроса тенденция замедления роста в наибольшей степени связана со снижением динамики инвестиционного спроса. Продолжают ухудшаться условия кредитования, наблюдается рост цены кредита. Так, средняя стоимость обслуживания кредита нефинансовыми предприятиями по рублевым кредитам сроком до одного года увеличилась с 8,8% в январе 2013 г. до 10,7% в июле 2014 г., а сроком свыше одного года - с 10,6% в декабре 2013 г. до 11,9% в июле 2014 года. В сочетании с эскалацией санкций и блокировкой доступа к мировым финансовым рынкам это существенно снижает инвестиционные возможности компаний.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Учитывая возрастающие геополитические риски, компании с осторожностью подходят к инвестированию, даже с учетом того, что сальдированный финансовый результат деятельности организаций в целом по экономике, снижавшийся на протяжении более года, с марта 2014 г. начал увеличиваться. Динамика прибыли по итогам января - июля составила 9,8% против снижения на 20,2% за аналогичный период годом ранее. На улучшение ситуации по сравнению с прошлым годом прежде всего повлияло ослабление курса рубля, которое повысило доходность экспортных операций.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Инвестиции в основной капитал за январь - август 2014 г. сократились на 2,7% к соответствующему периоду 2013 г. Сокращение связано со снижением объемов инвестиций субъектов малого предпринимательства и инвестиций, не наблюдаемых прямыми статистическими методами. В то же время рост инвестиций крупных и средних организаций в первом полугодии сохранялся на уровне, близком к 2 процентам. Ожидается, что сокращение инвестиций в основной капитал во втором полугодии замедлится до 2,2% против 2,8% за первые шесть месяцев года. В целом за год инвестиции в основной капитал могут снизиться на 2,4 процента.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несмотря на ухудшение экономической ситуации, условия на рынке труда остаются достаточно жесткими. Безработица с исключением сезонного фактора в январе - августе 2014 г. сохраняется на уровне 5,1 - 5,2% против среднего уровня 5,7% в 2013 году. Сокращается регистрируемая безработица. Потребность работодателей в работниках по-прежнему остается высокой.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то же время ожидается, что во второй половине года в условиях ухудшения экономических ожиданий предприятия начнут сокращать издержки на рабочую силу. К концу года уровень безработицы может превысить 6% экономически активного населения.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низкий уровень безработицы, рост реальной заработной платы существенно замедлился: с 4,4% в I квартале 2014 г. до 2,4% во II квартале. В целом за восемь месяцев реальная заработная плата выросла всего на 2,9%, что на 2,7 п. п. ниже темпов роста аналогичного периода 2013 года. При этом замедление темпов роста заработной платы отмечается во всех видах экономической деятельности, в том числе и в бюджетных (образовании, здравоохранении, государственном управлении). Во II квартале 2014 г. реальная заработная плата в бюджетных видах экономической деятельности относительно соответствующего периода 2013 года выросла на 4,2%, в остальных видах - на 0,2% против соответственно 8% и 1,6% в I квартале 2014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втором полугодии 2014 г. по мере роста безработицы, сокращения финансовых возможностей государства рост реальной заработной платы продолжит замедляться. По итогам года прирост заработной платы снизится до 1,5% против 4,8% в 2013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году рост реальных располагаемых доходов населения практически полностью исчерпался. За январь - август реальные доходы выросли на 0,7% (при этом в I квартале они снизились на 2,5%, во II квартале - увеличились на 1,7%) к уровню соответствующего периода прошлого года прежде всего в результате падения доходов, связанных с предпринимательской деятельностью, а также социальных выплат (пособий и стипендий).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целом за 2014 год прирост реальных доходов снизится до 0,3% против 3,2% в 2013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Потребительский спрос последние годы являлся одним из основных факторов, поддерживающих рост экономики. Вместе с тем замедление роста заработной платы и доходов населения все в большей степени сказывается на динамике розничных продаж. Если в I квартале потребительская активность поддерживалась снижением сбережений на фоне роста инфляционных ожиданий, то во II квартале действие этого фактора было исчерпано.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Ожидается, что во втором полугодии сохранение высокого инфляционного фона, а также существенное замедление потребительского кредита будет сдерживать рост розничных продаж на уровне не выше 1 - 1,5%, а в целом в 2014 году прирост оборота розничной торговли составит 1,9 процента.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целом ожидается, что во втором полугодии рост ВВП (по отношению к соответствующему периоду прошлого года) будет практически полностью исчерпан. Прежде всего это связано с замедлением роста потребительского спроса и спадом физических поставок товарного экспорта.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Неблагоприятный "эффект базы" сохранит во втором полугодии негативные тенденции динамики инвестиций. Положительный эффект, связанный с углублением спада поставок по импорту, большей частью будет компенсирован снижением товарных запасов продовольственной продукции. В III и IV кварталах рост экономики будет находиться на уровне около 0,1 - 0,2%, а в целом за 2014 год рост ВВП составит 0,5 процента.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результатами анализа различных вариантов сценариев развития российской экономики прогноз социально-экономического развития рассматривает развитие российской экономики в условиях относительной стабилизации геополитической обстановки, отсутствия дальнейших серьезных санкций со стороны ЕС и США, а также введения новых ответных санкций со стороны России.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Санкции, введенные Россией на импорт продовольственных продуктов, прекратят действие в августе 2015 года. С 2015 года будут постепенно отменяться санкции в отношении российских компаний. При этом в 2014 - 2015 гг. будут сохраняться геополитические риски, что определяет высокие премии за риск и низкие возможности осуществления займов на внешних рынках в этот период. В 2016 - 2017 гг. ожидается восстановление доступа компаний на мировые рынки капитала. Отток капитала в 2016 - 2017 гг. не будет превышать 20 - 30 млрд. долларов США в год.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Базовый сценарий предполагает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2015 году рост экономики ускорится до 1,2% прежде всего в результате возобновления роста инвестиционного спроса за счет компаний инфраструктурного сектора и государственных </w:t>
      </w:r>
      <w:r>
        <w:rPr>
          <w:rFonts w:ascii="Calibri" w:hAnsi="Calibri" w:cs="Calibri"/>
        </w:rPr>
        <w:lastRenderedPageBreak/>
        <w:t>инвестиций. Рост потребления, напротив, продолжит замедляться, что будет сдерживать возможности роста экономики. Это будет связано с сохранением высокой инфляции, ужесточением условий на рынке потребительского кредита и замедлением роста заработной платы в бюджетном секторе.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2016 - 2017 гг. на фоне сокращения оттока капитала, по мере снижения геополитической напряженности и восстановления интереса бизнеса к инвестированию в расширение производства годовые темпы прироста экономики могут повыситься до 2,3 - 3 процентов. Это будет связано с ускорением роста потребления, при этом в указанный период экономический рост будет сдерживаться снижением инвестиционного спроса со стороны компаний инфраструктурного сектора, металлургии, а также отсутствием роста государственных капитальных вложений. Ожидается снижение темпов прироста кредитного портфеля экономики до 12 - 15% в 2015 - 2017 годах.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Дополнительно проработан вариант, тестирующий экономику на ухудшение ситуации в мировой экономике, приводящее к более сильному снижению цен на нефть. В этих условиях среднегодовая цена на нефть марки "Urals" в 2015 году понижается до 91 доллара США за баррель, в 2016 - 2017 гг. предполагается ее стабилизация на уровне 90 долларов США за баррель. Учитывая сильную зависимость российской экономики от мировой конъюнктуры, этот сценарий в наибольшей степени обостряет риски устойчивости банковской системы, платежного баланса и общего уровня уверенности экономических агентов. В условиях этого сценария ожидается снижение ВВП в 2015 году на 0,6% и восстановление на уровне 1,7 - 2,8% в 2016 - 2017 годах.</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8" w:name="Par420"/>
      <w:bookmarkEnd w:id="48"/>
      <w:r>
        <w:rPr>
          <w:rFonts w:ascii="Calibri" w:hAnsi="Calibri" w:cs="Calibri"/>
        </w:rPr>
        <w:t>Таблица 3</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Основные показатели прогноза социально-экономического</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развития Российской Федерации</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5386"/>
        <w:gridCol w:w="850"/>
        <w:gridCol w:w="850"/>
        <w:gridCol w:w="850"/>
        <w:gridCol w:w="850"/>
        <w:gridCol w:w="850"/>
      </w:tblGrid>
      <w:tr w:rsidR="00703D06">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 отчет</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 оценка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r>
      <w:tr w:rsidR="00703D06">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255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прогноз</w:t>
            </w:r>
          </w:p>
        </w:tc>
      </w:tr>
      <w:tr w:rsidR="00703D06">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Цена на нефть марки "Urals" (мировая), долларов США за баррель</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703D06">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703D06">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в основной капитал,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r>
      <w:tr w:rsidR="00703D06">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Реальная заработная плата,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r>
      <w:tr w:rsidR="00703D06">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Оборот розничной торговли, прирост, %</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r>
      <w:tr w:rsidR="00703D06">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Экспорт - всего, млрд. долларов США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495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499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508</w:t>
            </w:r>
          </w:p>
        </w:tc>
      </w:tr>
      <w:tr w:rsidR="00703D06">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Импорт - всего, млрд. долларов США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49" w:name="Par475"/>
      <w:bookmarkEnd w:id="49"/>
      <w:r>
        <w:rPr>
          <w:rFonts w:ascii="Calibri" w:hAnsi="Calibri" w:cs="Calibri"/>
        </w:rPr>
        <w:t>5.1. УТОЧНЕНИЕ ПАРАМЕТРОВ БАЗОВОГО ВАРИАНТА ПРОГНОЗА</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50" w:name="Par477"/>
      <w:bookmarkEnd w:id="50"/>
      <w:r>
        <w:rPr>
          <w:rFonts w:ascii="Calibri" w:hAnsi="Calibri" w:cs="Calibri"/>
        </w:rPr>
        <w:t>Таблица 4</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Уточнение параметров базового варианта прогноза</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551"/>
        <w:gridCol w:w="1247"/>
        <w:gridCol w:w="850"/>
        <w:gridCol w:w="1247"/>
        <w:gridCol w:w="1247"/>
        <w:gridCol w:w="1247"/>
        <w:gridCol w:w="1247"/>
      </w:tblGrid>
      <w:tr w:rsidR="00703D06">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Базовый сценарий</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 г.</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Средняя цена за нефть марки "Urals", долларов США за баррель</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Индекс потребительских цен, в среднем за год,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Индекс потребительских цен, декабрь к декабрю,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5,5 - 6,5 (6,0)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4,5 - 5,5 (5,0)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4,0 - 5,0 (4,5)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3,8 - 4,8 (4,3)</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7,0 - 7,5 (7,5)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5,0 - 6,0 (5,5)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4,0 - 5,0 (4,5)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3,5 - 4,5 (4,0)</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Курс доллара среднегодовой, рублей за доллар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35 - 36 (35,5)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36,5 - 37,5 (37)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37,5 - 38,5 (38)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38,3 - 39,3 (38,8)</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35,2 - 36,2 (35,7)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37,2 - 38,2 (37,7)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38,2 - 39,2 (38,7)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39,0 - 40,0 (39,5)</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в основной капитал,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4,7</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Реальные располагаемые денежные доходы населения,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Реальная заработная плата,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Оборот розничной торговли, прирост, %</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Экспорт товаров,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516</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495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499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508</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Импорт товаров,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359</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703D06">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Счет текущих операций, млрд. долларов США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сценарные условия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703D06">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прогноз</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Корректировка основных параметров базового варианта прогноза в 2014 - 2017 гг. по сравнению с версией сценарных условий в основном связана с усилением внешнеполитических рисков и учитывает новый пакет взаимных санкций. В связи с этим большинство параметров прогноза пересмотрено в сторону понижения.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изменения условий и уточнения прогноза основных факторов роста в 2015 - 2017 гг. динамика ВВП понижена на 2015 год с 2 до 1,2%, на 2016 год - с 2,5 до 2,3% и на 2017 год - с 3,3 до 3 процентов.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Основная причина снижения оценки экономического роста в 2015 году связана с более жесткими, чем ожидалось, геополитическими условиями, усилением ограничений на рынках капитала в отношении крупнейших российских банков и компаний. Кроме того, новыми негативными факторами для экономического роста в 2015 году стали существенное повышение оценок инфляции и рост нагрузки на заработную плату.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2015 году инфляция составит примерно 5,5%, что на 0,5 п. п. выше, чем в предыдущей версии прогноза. Помимо усиления роста цен на продукты также повышается оценка роста тарифов на услуги организаций жилищно-коммунального хозяйства вследствие привязки их индексации к фактической инфляции за предшествующий год. В первом полугодии 2015 г. рост цен может также превышать прогнозируемые ранее значения, а во втором, напротив, будет ниже в случае завершения режима санкций в отношении продовольственного импорта при росте предложения товаров.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2016 - 2017 гг. продолжится замедление инфляции до 4,5% и 4% соответственно. Снижению инфляции в среднесрочный период будут способствовать относительная стабилизация номинального курса рубля, контроль Банка России за инфляцией мерами кредитно-денежной политики при сохранении прогнозируемых ограничений коммунальных тарифов.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повышения цен на продовольственную продукцию в конце 2014 - начале 2015 года инфляция в среднегодовом выражении в 2015 году пересмотрена с 5,1% до 6,7 процента. Это существенно снизило оценки реального роста социальных показателей и потенциала роста потребительского спроса. Кроме того, возможности повышения заработной платы будут ограничены установлением тарифа страховых взносов на обязательное медицинское страхование работающего населения в размере 5,1% сверх предельной величины базы для начисления страховых взносов.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уточнения реальной заработной платы и повышения оценок инфляции скорректирован прогноз реальных располагаемых денежных доходов населения с 1,3 до 0,4 процента.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роста реальных доходов населения в 2015 году ограничивает возможности для расширения потребления.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2016 - 2017 гг. восстановится рост потребительского спроса. Среднегодовой темп роста розничного товарооборота составит 3,2%, что в целом соответствует сценарным условиям.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Прогноз прироста инвестиционного спроса в 2015 году понижен на 0,4 п. п., до 2 процентов. Прежде всего, это снижение связано с инвестициями средних и малых предприятий в результате ухудшения доступа к кредитным ресурсам и более низкого уровня бизнес-уверенности. Способствовать приросту инвестиций в 2015 году будет увеличение расходов бюджета на финансирование инфраструктурных проектов, в том числе за счет средств Фонда национального благосостояния. Кроме того, ожидается возобновление роста инвестиций компаний инфраструктурного сектора, прежде всего в газовой отрасли в результате начала разработки месторождений, являющихся ресурсной базой для обеспечения поставок по трубопроводу "Сила Сибири".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период 2016 - 2017 гг. на фоне снижения геополитических рисков и восстановления бизнес-уверенности можно ожидать ускорения роста частных инвестиций. В то же время инвестиционный рост будет ослаблен жесткими бюджетными ограничениями, которые остановят рост инвестиций за счет бюджета, а инвестиции инфраструктурного сектора будут снижаться в результате сокращения инвестиционных программ в электроэнергетике и по мере завершения реализации основных мероприятий по модернизации производственных мощностей нефтеперерабатывающей промышленности. В целом прирост инвестиций в основной капитал в </w:t>
      </w:r>
      <w:r>
        <w:rPr>
          <w:rFonts w:ascii="Calibri" w:hAnsi="Calibri" w:cs="Calibri"/>
        </w:rPr>
        <w:lastRenderedPageBreak/>
        <w:t>2016 году сохраняется, как и в сценарных условиях, на уровне 1,6% за счет компенсирующего эффекта снижения базы 2015 года, в то время как в 2017 году он уменьшается на 1,8 п. п., до 2,9 процента.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стоимостных объемов экспорта товаров снижена в 2014 году на 6 млрд. долларов США по сравнению со сценарными условиями. Это снижение полностью объясняется ухудшением условий торговли. Основным фактором является существенное снижение оценок цены на экспортируемый Россией газ в результате пересмотра контрактов с учетом цен на спотовом рынке.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понижения динамики экспорта товаров, а также понижения оценки экспортных цен стоимостные объемы экспорта к 2017 году будут на 8 млрд. долларов США ниже оценки, принятой в сценарных условиях.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введения запрета на ввоз в Россию отдельных видов сельскохозяйственной продукции, сырья и продовольствия из стран, которые ввели санкции в отношении России, а также с учетом снижения импортных поставок из Украины оценка импорта товаров в 2014 году понижена на 15 млрд. долларов США, в том числе импорта продовольственных товаров - на 2,3 млрд. долларов США. Предполагается, что во втором полугодии 2014 г. не более 30% от прогнозируемого импорта, попавшего под санкции, будет заменено импортом из других стран, при этом ожидается дополнительный рост цен на импортируемую продовольственную продукцию.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физическом выражении импорт сократится, по оценке Минэкономразвития России, на 82% (по сравнению с сокращением на 4% в сценарных условиях). В 2015 - 2017 гг. оценка стоимостных объемов товарного импорта уменьшена на 13 - 17 млрд. долларов США, до 325 - 342 млрд. долларов США. Оценка динамики импорта понижена в среднем на 0,2% на фоне более низких оценок внутреннего спроса.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уточнения параметров внешней торговли профицит счета текущих операций повышен в 2014 году с 40 до 61 млрд. долларов США. В последующие годы сальдо счета по текущим операциям будет быстро сокращаться при ускорении роста внутреннего спроса и стабилизации объемов экспорта и составит к 2017 году 18 млрд. долларов США.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оттока капитала повышена в 2014 году с 90 млрд. долларов США до 100 млрд. долларов США, а к 2017 году ожидается, что отток капитала снизится до 20 млрд. долларов США. В сценарных условиях предполагалось, что к 2017 году отток капитала будет полностью исчерпан.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необходимо отметить, все еще имеет место долгосрочный прогноз социально-экономического развития России до 2030 года. Документ "Прогноз долгосрочного социально-экономического развития Российской Федерации на период до 2030 года" представлялся на рассмотрение Правительству Российской Федерации и был одобрен. Сценарные условия развития России, заложенные в указанном долгосрочном прогнозе, а также приоритеты и целевые индикаторы социально-экономического развития были взяты за основу разработки более актуального вышепредставленного прогноза на 2015 - 2017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Более подробное описание прогнозных </w:t>
      </w:r>
      <w:hyperlink w:anchor="Par6427" w:history="1">
        <w:r>
          <w:rPr>
            <w:rFonts w:ascii="Calibri" w:hAnsi="Calibri" w:cs="Calibri"/>
            <w:color w:val="0000FF"/>
          </w:rPr>
          <w:t>сценариев</w:t>
        </w:r>
      </w:hyperlink>
      <w:r>
        <w:rPr>
          <w:rFonts w:ascii="Calibri" w:hAnsi="Calibri" w:cs="Calibri"/>
        </w:rPr>
        <w:t xml:space="preserve"> развития российской экономики приведено в приложении 4 к настоящему документу.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51" w:name="Par665"/>
      <w:bookmarkEnd w:id="51"/>
      <w:r>
        <w:rPr>
          <w:rFonts w:ascii="Calibri" w:hAnsi="Calibri" w:cs="Calibri"/>
        </w:rPr>
        <w:t>6. АНАЛИЗ ВЫПОЛНЕНИЯ ЦЕЛЕВЫХ ПОКАЗАТЕЛЕЙ СТРАТЕГИИ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СОЦИАЛЬНО-ЭКОНОМИЧЕСКОГО РАЗВИТИЯ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ДО 2020 ГОДА В ПЕРИОД 2007 - 2013 ГОДОВ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Был проведен анализ успешности выполнения "Стратегии социально-экономического развития Смоленской области до 2020 года". Мы сравнили прогнозные значения, зафиксированные в этом документе, с фактическими данными за 2007 - 2013 годы. Проведено сравнение и активного сценария (рассмотренного в Стратегии социально-экономического развития Смоленской области), и инерционного.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Источником информации прогнозных данных является "Стратегия социально-экономического развития Смоленской области до 2020 года", фактических данных - Росстат, а также данные с сайта Департамента экономического развития Администрации Смоленской области (http://econsmolensk.ru/monitoring_ser/).</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52" w:name="Par672"/>
      <w:bookmarkEnd w:id="52"/>
      <w:r>
        <w:rPr>
          <w:rFonts w:ascii="Calibri" w:hAnsi="Calibri" w:cs="Calibri"/>
        </w:rPr>
        <w:t>Таблица 5</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Темпы роста ВРП Смоленской области (активный сценарий)</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Средний % достижения целевого показателя</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107,0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106,5</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97,86</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109,0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107,6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95,4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107,4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102,4 </w:t>
            </w:r>
            <w:hyperlink w:anchor="Par704" w:history="1">
              <w:r>
                <w:rPr>
                  <w:rFonts w:ascii="Calibri" w:hAnsi="Calibri" w:cs="Calibri"/>
                  <w:color w:val="0000FF"/>
                </w:rPr>
                <w:t>&lt;*&gt;</w:t>
              </w:r>
            </w:hyperlink>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53" w:name="Par704"/>
      <w:bookmarkEnd w:id="53"/>
      <w:r>
        <w:rPr>
          <w:rFonts w:ascii="Calibri" w:hAnsi="Calibri" w:cs="Calibri"/>
        </w:rPr>
        <w:t>&lt;*&gt; Оценка.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54" w:name="Par706"/>
      <w:bookmarkEnd w:id="54"/>
      <w:r>
        <w:rPr>
          <w:rFonts w:ascii="Calibri" w:hAnsi="Calibri" w:cs="Calibri"/>
        </w:rPr>
        <w:t>Таблица 6</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Темпы роста ВРП Смоленской области (инерционный сценарий)</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Средний % достижения целевого показателя</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103,2</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100,57</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109,0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107,6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95,4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107,4</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102,4 </w:t>
            </w:r>
            <w:hyperlink w:anchor="Par738" w:history="1">
              <w:r>
                <w:rPr>
                  <w:rFonts w:ascii="Calibri" w:hAnsi="Calibri" w:cs="Calibri"/>
                  <w:color w:val="0000FF"/>
                </w:rPr>
                <w:t>&lt;*&gt;</w:t>
              </w:r>
            </w:hyperlink>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55" w:name="Par738"/>
      <w:bookmarkEnd w:id="55"/>
      <w:r>
        <w:rPr>
          <w:rFonts w:ascii="Calibri" w:hAnsi="Calibri" w:cs="Calibri"/>
        </w:rPr>
        <w:t>&lt;*&gt; Оценка.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56" w:name="Par740"/>
      <w:bookmarkEnd w:id="56"/>
      <w:r>
        <w:rPr>
          <w:rFonts w:ascii="Calibri" w:hAnsi="Calibri" w:cs="Calibri"/>
        </w:rPr>
        <w:t>Таблица 7</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57" w:name="Par742"/>
      <w:bookmarkEnd w:id="57"/>
      <w:r>
        <w:rPr>
          <w:rFonts w:ascii="Calibri" w:hAnsi="Calibri" w:cs="Calibri"/>
        </w:rPr>
        <w:t>Темпы промышленного производства (активный сценарий)</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Средний % достижения целевого показателя</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104,9</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101,37</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96,1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94,5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101,7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104,7</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58" w:name="Par771"/>
      <w:bookmarkEnd w:id="58"/>
      <w:r>
        <w:rPr>
          <w:rFonts w:ascii="Calibri" w:hAnsi="Calibri" w:cs="Calibri"/>
        </w:rPr>
        <w:t>Таблица 8</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Темпы промышленного производства (инерционный сценарий)</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Средний % достижения целевого показателя</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99,04</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96,1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94,5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101,7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bl>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59" w:name="Par802"/>
      <w:bookmarkEnd w:id="59"/>
      <w:r>
        <w:rPr>
          <w:rFonts w:ascii="Calibri" w:hAnsi="Calibri" w:cs="Calibri"/>
        </w:rPr>
        <w:t>Таблица 9</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Среднедушевые доходы населения (активный сценарий)</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381"/>
        <w:gridCol w:w="794"/>
        <w:gridCol w:w="794"/>
        <w:gridCol w:w="737"/>
        <w:gridCol w:w="794"/>
        <w:gridCol w:w="794"/>
        <w:gridCol w:w="794"/>
        <w:gridCol w:w="1134"/>
        <w:gridCol w:w="1361"/>
      </w:tblGrid>
      <w:tr w:rsidR="00703D06">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Средний % достижения целевого показателя</w:t>
            </w:r>
          </w:p>
        </w:tc>
      </w:tr>
      <w:tr w:rsidR="00703D06">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113</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703D06">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Среднедушевой доход населения, тыс. руб.,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7731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9298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13018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15013</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17310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18524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20988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703D06">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Среднедушевой доход населения, тыс. руб.,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8228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11222</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12616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14546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15969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18250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18771</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60" w:name="Par850"/>
      <w:bookmarkEnd w:id="60"/>
      <w:r>
        <w:rPr>
          <w:rFonts w:ascii="Calibri" w:hAnsi="Calibri" w:cs="Calibri"/>
        </w:rPr>
        <w:t>Таблица 10</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Среднедушевые доходы населения (инерционный сценарий)</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438"/>
        <w:gridCol w:w="794"/>
        <w:gridCol w:w="794"/>
        <w:gridCol w:w="737"/>
        <w:gridCol w:w="794"/>
        <w:gridCol w:w="794"/>
        <w:gridCol w:w="794"/>
        <w:gridCol w:w="1134"/>
        <w:gridCol w:w="1361"/>
      </w:tblGrid>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Индикатор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2007</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2008</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Средний % достижения целевого показателя</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Среднедушевой доход населения, тыс. руб., прогноз</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7731</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9051</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12456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14130</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16292</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17566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19710</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w:t>
            </w:r>
          </w:p>
        </w:tc>
      </w:tr>
      <w:tr w:rsidR="00703D06">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Среднедушевой доход населения, тыс. руб., факт</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8228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11222</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12616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14546</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15969</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18250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18771</w:t>
            </w: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Исходя из представленной информации, можно сделать вывод о том, что в период с 2007 по 2013 год динамика темпов роста ВРП и индекса промышленного производства развивалась в большей степени по инерционному сценарию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Вместе с тем, с точки зрения среднедушевых доходов населения в 2007 - 2013 годы развитие Смоленской области двигалось по активному </w:t>
      </w:r>
      <w:r>
        <w:rPr>
          <w:rFonts w:ascii="Calibri" w:hAnsi="Calibri" w:cs="Calibri"/>
        </w:rPr>
        <w:lastRenderedPageBreak/>
        <w:t>сценарию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61" w:name="Par901"/>
      <w:bookmarkEnd w:id="61"/>
      <w:r>
        <w:rPr>
          <w:rFonts w:ascii="Calibri" w:hAnsi="Calibri" w:cs="Calibri"/>
        </w:rPr>
        <w:t>6.1. КАЧЕСТВО ЖИЗНИ В СМОЛЕНСКОЙ ОБЛАСТИ В СРАВНЕНИИ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СО СРЕДНИМ ПО РОССИЙСКОЙ ФЕДЕРАЦИИ, 2013 Г.</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(ИСТОЧНИК РИА РЕЙТИНГ)</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Качество жизни является сложной комплексной характеристикой, включающей совокупность показателей, которые, в свою очередь, характеризуют возможность человека трудиться в хороших условиях, иметь достойный уровень благосостояния, учиться, получать высококачественное медицинское обслуживание, проживать не в стесненных жилищных условиях, дышать чистым воздухом и пить чистую воду, иметь возможность доступа к культурным ценностям, осуществлять жизнедеятельность в условиях безопасности.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Источниками информации для составления оценки послужили данные Росстата, Минздрава России, Минрегиона России, Минфина России, Минприроды России, Банка России, сайты региональных органов власти и другие открытые источники. Зеленым цветом выделены показатели, по которым Смоленская область лучше среднероссийских значений (более чем на 10%), желтым и красным цветом - по которым хуже среднероссийских показателей.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62" w:name="Par908"/>
      <w:bookmarkEnd w:id="62"/>
      <w:r>
        <w:rPr>
          <w:rFonts w:ascii="Calibri" w:hAnsi="Calibri" w:cs="Calibri"/>
        </w:rPr>
        <w:t>Таблица 11</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Сравнение показателей Смоленской области с среднероссийскими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984"/>
        <w:gridCol w:w="3261"/>
        <w:gridCol w:w="1361"/>
        <w:gridCol w:w="1304"/>
        <w:gridCol w:w="1474"/>
      </w:tblGrid>
      <w:tr w:rsidR="00703D06">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Сфера</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Смоленская область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Российская Федерация</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Отклонение, %</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Уровень доходов населения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вкладов (депозитов) физических лиц в банках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отношение денежных доходов населения к стоимости фиксированного набора потребительских товаров и услуг</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доля населения с доходами ниже прожиточного минимума, </w:t>
            </w:r>
            <w:r>
              <w:rPr>
                <w:rFonts w:ascii="Calibri" w:hAnsi="Calibri" w:cs="Calibri"/>
              </w:rPr>
              <w:lastRenderedPageBreak/>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16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Жилищные условия населения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общая площадь жилых помещений, приходящаяся в среднем на одного жителя, за исключением ветхого и аварийного фонда, кв. м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населения, проживающего в многоквартирных домах, признанных в установленном порядке аварийными,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-62,5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общей площади, оборудованной водопроводом,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общей площади, оборудованной водоотведением (канализацией),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общей площади, оборудованной горячим водоснабжением,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уровень износа коммунальной инфраструктуры,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объектами социальной инфраструктуры</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врачами на 10 тыс.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обеспеченность больничными койками на 10 тыс. человек </w:t>
            </w:r>
            <w:r>
              <w:rPr>
                <w:rFonts w:ascii="Calibri" w:hAnsi="Calibri" w:cs="Calibri"/>
              </w:rPr>
              <w:lastRenderedPageBreak/>
              <w:t>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96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детей дошкольного возраста местами в дошкольных образовательных учреждениях, количество мест на 1000 детей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численность детей, стоящих на учете для определения в дошкольные образовательные учреждения, на 1000 мест в дошкольных образовательных учреждениях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626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482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число студентов, принятых в образовательные учреждения высшего профессионального образования,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торговыми площадями, кв. м на 1000 человек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оборот розничной торговли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123</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позиции в рейтинге регионов по развитию спортивной инфраструктуры</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обеспеченность ресторанами и столовыми, мест на 1000 </w:t>
            </w:r>
            <w:r>
              <w:rPr>
                <w:rFonts w:ascii="Calibri" w:hAnsi="Calibri" w:cs="Calibri"/>
              </w:rPr>
              <w:lastRenderedPageBreak/>
              <w:t>жителей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численность зрителей театров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число посещений музеев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477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Экологические и климатические условия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выбросы в атмосферу загрязняющих веществ от стационарных и передвижных источников на единицу площади населенных пунктов, тонн на кв.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обеспеченность населения питьевой водой, отвечающей требованиям безопасности,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затраты на охрану окружающей среды на единицу площади, тыс. руб. на 1 кв.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-91,6</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затраты на охрану окружающей среды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Безопасность проживания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населением уровня криминогенности в субъекте РФ,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смертность населения в ДТП в расчете на 100 тыс.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число травм, отравлений и некоторых других последствий воздействия внешних причин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Демографическая ситуация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коэффициент естественного прироста (+), убыль (-) на 1000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-2900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миграционный прирост (убыль) населения (используется среднее значение за три года), тыс. чел.</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Здоровье населения и уровень образования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численность зарегистрированных больных с диагнозом, установленным впервые в жизни, на 1000 человек всего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822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уровень младенческой смертности, число детей, умерших в возрасте до 1 года, на 1000 родившихся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ожидаемая продолжительность жизни при рождении, лет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из аспирантуры на 10000 человек населения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населения с высшим образованием в общей численности населения в возрасте 15 лет и более,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численность жителей, не имеющих среднего образования, на 1000 человек в возрасте 15 лет и более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Освоенность территории и развитие транспортной инфраструктуры</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плотность автомобильных дорог общего пользования с твердым покрытием, км дорог на 1000 кв. км территории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266</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плотность железнодорожных путей общего пользования, км путей на 10000 кв. км территории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городского населения,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уровень освоенности территории, доля площади населенных пунктов в общей площади территории,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Уровень экономического развития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ВРП на душу населения,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ВРП, млрд.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183,2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594,4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собственных доходов в общем объеме доходов консолидированных бюджетов,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68,9</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-0,15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прибыльных предприятий,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прямых иностранных инвестиций в расчете на 1 жителя, долларов США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прямых иностранных инвестиций, млн. долларов США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249,6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-53</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уровень безработицы, %</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5,7</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среднее время поиска работы, месяцев</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8,2</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6,5</w:t>
            </w:r>
          </w:p>
        </w:tc>
      </w:tr>
      <w:tr w:rsidR="00703D06">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Уровень развития малого бизнеса</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оборот малых и микропредприятий и индивидуальных предпринимателей в расчете на одного жителя, тыс. руб.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198</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суммарный оборот малых и микропредприятий и индивидуальных предпринимателей, млрд.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193,5</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398,1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 малых и микропредприятий в расчете на одного жителя, тыс. рублей на человека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r>
      <w:tr w:rsidR="00703D06">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 малых и микропредприятий, млн. руб.</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9471</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6394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Некоторые выводы: При недостаточно высоких доходах населения Смоленской области следует обратить внимание на сферу жилищного строительства. Обеспеченность объектами социальной инфраструктуры - средняя. Экологическая обстановка благоприятная, отсюда и низкие расходы на экологию. При довольно безопасном проживании следует обратить внимание на демографические процессы, образование. Несмотря на хорошие показатели транспортной инфраструктуры экономические показатели и инвестиции ниже, чем могли бы быть. Инвестиции в развитие малого бизнеса необходимо поощрять для того, чтобы они дали эффект в виде увеличения оборотов малых предприятий.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63" w:name="Par1134"/>
      <w:bookmarkEnd w:id="63"/>
      <w:r>
        <w:rPr>
          <w:rFonts w:ascii="Calibri" w:hAnsi="Calibri" w:cs="Calibri"/>
        </w:rPr>
        <w:t>7. ТЕРРИТОРИАЛЬНО-ОТРАСЛЕВЫЕ ПРИОРИТЕТЫ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ТЕХНОЛОГИИ, ВИДЫ ПРОДУКЦИИ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данным, опубликованным Институтом экономического анализа, производительность труда в отечественной промышленности составляет 14% соответствующего показателя США, 18% - Канады, 19% - Японии и Франции, 20% - Англии и Германии. В этом исследовании производительность труда в стране определялась по стоимости произведенного национального дохода на количество населения, занятого в производственной деятельности. В настоящее время никто не оспаривает необходимость резкого повышения производительности труда.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Элиты России пришли к консенсусу о необходимости "Новой индустриализации". Поставлена задача создания новых высокопроизводительных и высокооплачиваемых рабочих мест по всей территории страны. Однако так как мы живем в мире глобальной конкуренции, необходимо для устойчивого существования промышленных предприятий в новых условиях, решать проблему глобальной конкурентоспособности предприятий.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наиболее очевидных путей решения данной проблемы видится создание территориальных отраслевых кластеров в РФ.</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 (в экономике) - сконцентрированная на некоторой территории группа взаимосвязанных компаний: поставщиков оборудования, комплектующих и специализированных услуг; инфраструктуры; научно-исследовательских институтов; вузов и других организаций, взаимодополняющих друг друга и усиливающих конкурентные преимущества отдельных компаний и кластера в целом. Характерными признаками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максимальная географическая близость;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родство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общность сырьевой базы;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инновационной составляющей.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Положительное влияние кластеров для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Повышают производительность входящих в них предприятий.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Повышают способность у компаний к инновациям.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Стимулируют создание новых бизнесов, расширяющих границы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замечено, что важность кластеров возрастает с усложнением конкуренции.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64" w:name="Par1151"/>
      <w:bookmarkEnd w:id="64"/>
      <w:r>
        <w:rPr>
          <w:rFonts w:ascii="Calibri" w:hAnsi="Calibri" w:cs="Calibri"/>
        </w:rPr>
        <w:t>7.1. ПРЕИМУЩЕСТВА ДЛЯ КОМПАНИЙ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кластерной политики в Смоленской области рассматривается как очевидная возможность для региональной власти повысить конкурентоспособность предприятий, вошедших в кластеры (так, по данным "Европейской кластерной инициативы" 2011, при парных сопоставлениях за 10 лет сходных по мощности и числу работников производственных предприятий Западной Европы предприятия, входящие в кластеры, имели на 6,2% больше рост акционерной стоимости, чем аналоги вне кластера), а для потенциальных участников такой формы организации как "кластер" воспользоваться рядом преимуществом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Более дешевый доступ к специализированным факторам производства - компонентам, машинному оборудованию, бизнес-услугам, персоналу.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Облегчает коммуникацию, снижает издержки на адаптацию и способствует общему обеспечению вспомогательного и поддерживающего обслуживания (установка, наладка, </w:t>
      </w:r>
      <w:r>
        <w:rPr>
          <w:rFonts w:ascii="Calibri" w:hAnsi="Calibri" w:cs="Calibri"/>
        </w:rPr>
        <w:lastRenderedPageBreak/>
        <w:t>обучение пользователей, ремонт оборудования).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Позволяет добиться глубокой специализации поставщиков в результате лучшего распознавания возможностей рынка и снижения их риска в связи с существованием множества местных потребителей.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Снижает затраты на импорт факторов производства из удаленных источников (конкурентное ценообразование и экономия на доставке большого количества).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Дает преимущество в снабжении специализированной, обладающей высокой квалификацией рабочей силой. Кластер сигнализирует о существующих возможностях и снижает риск перемещения рабочего места.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Увеличивает возможность получения высококвалифицированного персонала, услуг, компонентов и увеличивает число создающих их структур.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Дает доступ к специализированным видам информации по маркетингу, технологиям и т.п. Доступ к этой информации для фирм кластера требует меньших затрат.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Облегчает движение специализированной информации о текущих потребностях потребителей из-за наличия личных контактов между участниками.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Способствует развитию взаимодополняемости между видами деятельности и расширению продуктовой линейки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Способствует координации усилий и общему стремлению к совершенствованию, что повышает общее качество и эффективность работы всех участников.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Так как вследствие плохой работы одной из частей кластера могут возникнуть препятствия для успеха остальных участников, то это ведет к установлению взаимного (неформального) контроля качества продукции у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Повышает эффективность совместного маркетинга (выставки, журналы, рекламные компании), повышается репутация региона в отрасли.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Повышает эффективность закупок сырья и материалов за счет объема закупок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Повышает устойчивость поставок в регион по тем же причинам.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Способствует возможности создания факторов производства (квазиобщественных) для всех, создание которых для одного игрока было бы дорогостоящим (маловероятным).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Облегчает взаимодействие с финансовыми и страховыми компаниями, знающими специфику отрасли, которые приходят в регион, и снижает стоимость заимствований для всех участников.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Дает возможность сделать совместные капиталовложения в высокоспециализированную инфраструктуру (центры качества, центры сертификации, спецлаборатории, спецподготовка персонала и т.п.).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Соперничество с местными конкурентами оказывает особо сильное стимулирующее воздействие на поиск путей повышения производительности.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Амбиции и желание хорошо выглядеть в глазах знакомых бизнесменов поддерживает стремление обойти соперника.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Позволяет легко измерять производительность, легко сравнивать фирмы друг с другом по издержкам.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Позволяет быстро выявлять и более адекватно реагировать на новые потребности покупателей.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Позволяет быстро узнавать о прогрессе в новых технологиях, новых компонентах, оборудовании, новых концепциях в маркетинге, новых поставщиках.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Дает преимущество в доступе к новым технологиям, методам работы и возможностям поставок.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Позволяет провести эксперименты, пробы новых подходов, материалов за счет распределения рисков между несколькими участниками, эти попытки становятся менее финансово-обременительными, хотя иногда и не снимает риска появления группового мышления и отторжения инноваций всеми участниками.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Облегчает создание нового бизнеса. Он легче возникает внутри кластера, чем изолированно, из-за хорошей информированности о новых возможностях, барьеры входа здесь ниже. Крупные игроки часто создают дочерние компании внутри перспективного кластера для получения уникальной информации о новых возможностях бизнеса.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26. Следует также отметить, что кластеры - это, с одной стороны, инструмент повышения производительности и, следовательно, конкурентоспособности предприятий-участников, а, с другой стороны, - инструмент развития территорий, на которых они располагаются.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В частности, развитие кластера может стать стержнем, на который могут нанизываться другие формы развития на территории, например, малого и среднего бизнеса. Все согласны с тем, что в России недостаточна доля малых и средних предприятий по сравнению с развитыми странами. Так, по оценке Министерства экономического развития России, доля МСП в 2011 году составляет около 21%, тогда как в развитых странах она составляет 50 - 60%. В российских условиях уже выделились такие инструменты стимулирования создания новых предприятий, как индустриальные парки, бизнес-инкубаторы, агро- и технологические парки. Однако попытки "запустить" каждый такой проект наталкиваются на одну и ту же проблему - трудности в привлечении резидентов таких парков, "якорных" компаний, вокруг которых было бы легче создавать новые предприятия. В этом плане кластеры могут брать на себя роль локомотива. Именно исходя из логики отношения к кластеру как отраслевому развитию на конкретной территории, можно легче планировать и привлекать или создавать новые компании с пониженными рисками в регионах.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Несмотря на то, что на основании анализа имеющихся ресурсов Смоленской области и потенциала ряда предприятий и организаций производственного и образовательного характера на территории Смоленской области представляется возможной организация целого ряда кластеров, рекомендуется проведение более глубокой проработки каждого кластера в соответствии с </w:t>
      </w:r>
      <w:hyperlink w:anchor="Par8318" w:history="1">
        <w:r>
          <w:rPr>
            <w:rFonts w:ascii="Calibri" w:hAnsi="Calibri" w:cs="Calibri"/>
            <w:color w:val="0000FF"/>
          </w:rPr>
          <w:t>методикой</w:t>
        </w:r>
      </w:hyperlink>
      <w:r>
        <w:rPr>
          <w:rFonts w:ascii="Calibri" w:hAnsi="Calibri" w:cs="Calibri"/>
        </w:rPr>
        <w:t xml:space="preserve"> формирования и развития территориально-отраслевых кластеров в Смоленской области, приведенной в приложении 6 к настоящему документу.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на органы исполнительной власти возлагается задача по формированию специализированной организации развития кластера, обеспечивающей координацию деятельности его участников, которая может создаваться в различных организационно-правовых формах. Предполагается, что функции указанной организации могут быть возложены как на вновь создаваемые, так и уже существующие организации.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признания целесообразным создание кластера потребуется разработка стратегии развития кластера и плана мероприятий по ее реализации, включающей разработку набора кластерных проектов и мер, направленных на формирование благоприятных условий развития кластера, на базе анализа барьеров и возможностей для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65" w:name="Par1185"/>
      <w:bookmarkEnd w:id="65"/>
      <w:r>
        <w:rPr>
          <w:rFonts w:ascii="Calibri" w:hAnsi="Calibri" w:cs="Calibri"/>
        </w:rPr>
        <w:t>7.2. ПОТЕНЦИАЛЬНЫЕ КЛАСТЕРЫ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Итоги изучения ресурсов Смоленской области, с одной стороны, конъюнктуры рынков и характера развития территорий, окружающих Смоленскую область, с другой стороны, позволяют органам власти Смоленской области рассмотреть возможность организации некоторых аспектов реализации экономической политики региона в форме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первую очередь можно обратить внимание на развитие следующих кластеров </w:t>
      </w:r>
      <w:hyperlink w:anchor="Par1209" w:history="1">
        <w:r>
          <w:rPr>
            <w:rFonts w:ascii="Calibri" w:hAnsi="Calibri" w:cs="Calibri"/>
            <w:color w:val="0000FF"/>
          </w:rPr>
          <w:t>(таблица 12)</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машиностроительный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композитный кластер (включая производство продукции химической и нефтехимической промышленности);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кластер приборостроения и электротехники;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кластер производства стройматериалов и деревообработки;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животноводческий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транспортно-логистический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туристический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целесообразно рассмотреть возможность формирования протокластеров (потенциальных кластеров) по таким направлениям, как: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медицинский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алмазообработка;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выращивание и обработка льна.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Однако на данном этапе рекомендуется сконцентрировать усилия на развитии </w:t>
      </w:r>
      <w:r>
        <w:rPr>
          <w:rFonts w:ascii="Calibri" w:hAnsi="Calibri" w:cs="Calibri"/>
        </w:rPr>
        <w:lastRenderedPageBreak/>
        <w:t>вышеозначенных потенциальных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Рекомендация рассмотреть возможность организации ряда экономических процессов с применением кластерной политики обусловлена еще и тем, что данный формат способствует росту конкурентоспобности бизнеса за счет эффективного взаимодействия участников кластера, связанного с их географически близким расположением, включая расширение доступа к инновациям, технологиям, "ноу-хау", специализированным услугам и высококвалифицированным кадрам, а также снижением трансакционных издержек, обеспечивающим формирование предпосылок для реализации совместных кооперационных проектов и продуктивной конкуренции.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и развитие кластеров являются эффективным механизмом привлечения прямых иностранных инвестиций и активизации внешнеэкономической интеграции. Включение отечественных кластеров в глобальные цепочки создания добавленной стоимости позволяет существенно поднять уровень национальной технологической базы, повысить скорость и качество экономического роста за счет повышения международной конкурентоспособности предприятий, входящих в состав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каждого протокластера Смоленской области и причины его выбора для развития подробно рассмотрены в </w:t>
      </w:r>
      <w:hyperlink w:anchor="Par6874" w:history="1">
        <w:r>
          <w:rPr>
            <w:rFonts w:ascii="Calibri" w:hAnsi="Calibri" w:cs="Calibri"/>
            <w:color w:val="0000FF"/>
          </w:rPr>
          <w:t>приложении 5</w:t>
        </w:r>
      </w:hyperlink>
      <w:r>
        <w:rPr>
          <w:rFonts w:ascii="Calibri" w:hAnsi="Calibri" w:cs="Calibri"/>
        </w:rPr>
        <w:t xml:space="preserve"> к настоящему документу.</w:t>
      </w:r>
    </w:p>
    <w:p w:rsidR="00703D06" w:rsidRDefault="00427D1E">
      <w:pPr>
        <w:widowControl w:val="0"/>
        <w:autoSpaceDE w:val="0"/>
        <w:autoSpaceDN w:val="0"/>
        <w:adjustRightInd w:val="0"/>
        <w:spacing w:after="0" w:line="240" w:lineRule="auto"/>
        <w:ind w:firstLine="540"/>
        <w:jc w:val="both"/>
        <w:rPr>
          <w:rFonts w:ascii="Calibri" w:hAnsi="Calibri" w:cs="Calibri"/>
        </w:rPr>
      </w:pPr>
      <w:hyperlink w:anchor="Par8318" w:history="1">
        <w:r w:rsidR="00703D06">
          <w:rPr>
            <w:rFonts w:ascii="Calibri" w:hAnsi="Calibri" w:cs="Calibri"/>
            <w:color w:val="0000FF"/>
          </w:rPr>
          <w:t>Методика</w:t>
        </w:r>
      </w:hyperlink>
      <w:r w:rsidR="00703D06">
        <w:rPr>
          <w:rFonts w:ascii="Calibri" w:hAnsi="Calibri" w:cs="Calibri"/>
        </w:rPr>
        <w:t xml:space="preserve"> формирования и развития территориально-отраслевых кластеров в Смоленской области приведена в приложении 6 к настоящему документу.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необходимо обратить внимание, что перечень приведенных потенциальных участников кластеров, а также перечень возможной продукции или услуг является открытым, может дополняться или сокращаться в зависимости от результатов дополнительного исследования о целесообразности и возможности создания того или иного кластера на территории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66" w:name="Par1207"/>
      <w:bookmarkEnd w:id="66"/>
      <w:r>
        <w:rPr>
          <w:rFonts w:ascii="Calibri" w:hAnsi="Calibri" w:cs="Calibri"/>
        </w:rPr>
        <w:t>Таблица 12</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67" w:name="Par1209"/>
      <w:bookmarkEnd w:id="67"/>
      <w:r>
        <w:rPr>
          <w:rFonts w:ascii="Calibri" w:hAnsi="Calibri" w:cs="Calibri"/>
        </w:rPr>
        <w:t>Краткая характеристика потенциальных кластеров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231"/>
        <w:gridCol w:w="3061"/>
        <w:gridCol w:w="3005"/>
        <w:gridCol w:w="3118"/>
        <w:gridCol w:w="3515"/>
      </w:tblGrid>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кластера и его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Специализация</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Планируемые виды продукции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Потенциальные участники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Ожидаемые социально-экономические эффекты</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смешанный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производство транспортных средств, машин и оборудования, научно-исследовательская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теплообменные устройства, промышленное и бытовое холодильное оборудование;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оборудование для кондиционирования воздуха, фильтрования и очистки газов;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топливозаправщики, электроагрегаты, воздухозаправщики, компрессорные станции;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контейнерные и модульные автозаправочные станции, резервуары, детали трубопроводов и теплообменной аппаратуры;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машины стиральные, сушильно-гладильные, центрифуги для отжима;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изготовление и ремонт ходовых частей ж/д вагонов, производство полувагонов;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тормозная аппаратура (пневматическая и гидравлическая) для грузовых автомобилей, автобусов, тракторов и прицепов;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комбинированные дорожные машины для всесезонного содержания дорог;</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запасные части для легковых и грузовых автомобилей, коробки передач;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самолеты малой авиации, комплектующие к ним и другое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ОАО "Вяземский машиностроительный завод";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"Торгмаш";</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"Гагаринская промышленно-строительная компания";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"Аркада-Инжиниринг";</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"Смоленский завод "Кентавр";</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"720 ремонтный завод средств обеспечения полетов";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"БалтЭнергоМаш";</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"Кондиционер";</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"Смолспецтех";</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"Рославльский вагоноремонтный завод";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"Рославльский автоагрегатный завод АМО ЗИЛ";</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"Завод Комплексных Дорожных Машин им. М.И. Калинина";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"Ярцевская технологическая компания АМО ЗИЛ";</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"Смоленский авиационный завод"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объемов реализуемой продукции участников кластера за счет технического перевооружения и внедрения новых технологий (проекты ОАО "Рославльский вагоноремонтный завод"; ЗАО "РААЗ АМО ЗИЛ").</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5" w:history="1">
              <w:r>
                <w:rPr>
                  <w:rFonts w:ascii="Calibri" w:hAnsi="Calibri" w:cs="Calibri"/>
                  <w:color w:val="0000FF"/>
                </w:rPr>
                <w:t>&lt;i&gt;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новых высокопроизводительных рабочих мест за счет модернизации действующих производств.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числа участников малого и среднего бизнеса, включаемых в цепочки добавленной стоимости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объемов инновационной продукции участников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числа подаваемых в Роспатент заявок на объекты интеллектуальной собственности</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Композитный кластер (включая производство продукции химической и нефтехимической промышленности), смешанный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производство продукции из углеводородного, минерального и другого сырья путем его химической переработки, производство изделий гражданского композитостроения на базе новых инновационных материалов и технологий, научно-исследовательская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крупногабаритные изделия из композитных материалов и пластмасс, стеновые панели, подоконники, отделочные профили, плинтусы;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освежители воздуха, нейтрализаторы запаха, средства косметические для укладки волос в аэрозольной упаковке и другое.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Стеклоарматура, стеклокомпозит, дисплейное, фотовольтаическое и архитектурно-строительное стекло.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Минеральные удобрения, углекислоты, аммиак технический, катализаторы;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спецреагенты, эпоксидные смолы, эмульгаторы;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полимерная упаковочная пленка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"Дорогобуж";</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"Лава";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"Декопласт";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"Полимер";</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"КОЛТЕК-спецреагенты";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"Вяземский завод синтетических продуктов";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"Аэростар Контракт";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"Стеклозавод Ворга";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"ВОСТЕК";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"Индустриальный парк Сафоново";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"Авангард";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"Новый ветер - ВДК";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"Гильдия 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"Интрейдинвест";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учреждение дополнительного профессионального образования "ЭКСПЕРТ" "Институт композитных материалов";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ОГБОУ СПО СПЭК;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"Сафоновский район" Смоленской области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6" w:history="1">
              <w:r>
                <w:rPr>
                  <w:rFonts w:ascii="Calibri" w:hAnsi="Calibri" w:cs="Calibri"/>
                  <w:color w:val="0000FF"/>
                </w:rPr>
                <w:t>&lt;21&gt;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части химического производства значительные капиталовложения планирует осуществить ОАО "Дорогобуж" в рамках модернизации производственных мощностей. В части производства резиновых и пластмассовых изделий капиталовложения планирует осуществить ОАО "Авангард" для технического перевооружения производства, инвестиционные вложения также будут осуществлять: ООО "Полимер", ООО "Десногорский полимерный завод".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Рост объемов реализуемой продукции участников кластера за счет технического перевооружения и внедрения новых технологий, создание новых высокопроизводительных рабочих </w:t>
            </w:r>
            <w:r>
              <w:rPr>
                <w:rFonts w:ascii="Calibri" w:hAnsi="Calibri" w:cs="Calibri"/>
              </w:rPr>
              <w:lastRenderedPageBreak/>
              <w:t>мест.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объемов продукции среднего и высокого передела, повышение конкурентоспособности в секторах высокотехнологичных химических продуктов.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числа участников малого и среднего бизнеса, включаемых в цепочки добавленной стоимости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Расширение ассортимента и значительный рост объемов выпускаемой продукции.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количества разработанных, внедренных и запатентованных технологий.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импортозамещающей продукции.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необходимых условий для продвижения инновационной российской продукции и технологий на мировые рынки</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Приборостроения и электротехники, смешанный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w:t>
            </w:r>
            <w:r>
              <w:rPr>
                <w:rFonts w:ascii="Calibri" w:hAnsi="Calibri" w:cs="Calibri"/>
              </w:rPr>
              <w:lastRenderedPageBreak/>
              <w:t>научно-исследовательская и образовательная деятельность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электронная аппаратура авиационного и космического применения, устройства ЧПУ;</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бортовые приборы контроля и измерения, спецтехника;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приборы для технического контроля и контроля безопасности в промышленности;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телекоммуникационное </w:t>
            </w:r>
            <w:r>
              <w:rPr>
                <w:rFonts w:ascii="Calibri" w:hAnsi="Calibri" w:cs="Calibri"/>
              </w:rPr>
              <w:lastRenderedPageBreak/>
              <w:t>оборудование и радиоэлектронная аппаратура;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электрогенераторы, электродвигатели, электрооборудование;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силовые электрические провода и кабели;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комплексы светотехнического оборудования аэродромов, светотехнические приборы;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гидрометрические приборы; приборы и системы контроля технологических процессов для измерения расхода жидкостей и газов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ОАО "Измеритель";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"Источник тока";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"Пирамида";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"Смоленский завод радиодеталей";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"ПО "ИСКРА";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"ОСРАМ";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"НИИ современных телекоммуникационных технологий";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ООО "Смоленский электротехнический завод";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НПО "РУБИКОН-ИННОВАЦИЯ";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ФГУП СПО "АНАЛИТПРИБОР";</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"Русэлпром-СЭЗ";</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"Сафоновский завод "ГИДРОМЕТПРИБОР";</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"Смолкабель";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"Теплоконтроль";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"ВЭТЗ";</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"Инженерный центр "ЭЛЕКТРОЛУЧ";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"Гагаринский светотехнический завод";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"Росстеклоприбор";</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"Термоконтроль"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рост объемов реализуемой продукции участников кластера за счет технического перевооружения и внедрения новых технологий (проекты ОАО "Сафоновский завод "Гидрометприбор", ОАО "Измеритель", ООО "ВЭТЗ", ФГУП СПО "Аналитприбор" и ОАО "ОСРАМ").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Создание новых </w:t>
            </w:r>
            <w:r>
              <w:rPr>
                <w:rFonts w:ascii="Calibri" w:hAnsi="Calibri" w:cs="Calibri"/>
              </w:rPr>
              <w:lastRenderedPageBreak/>
              <w:t>высокопроизводительных рабочих мест за счет модернизации действующих производств.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7" w:history="1">
              <w:r>
                <w:rPr>
                  <w:rFonts w:ascii="Calibri" w:hAnsi="Calibri" w:cs="Calibri"/>
                  <w:color w:val="0000FF"/>
                </w:rPr>
                <w:t>&lt;22&gt;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числа участников малого и среднего бизнеса, включаемых в цепочки добавленной стоимости кластера</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Производство стройматериалов и деревообработки, дискретный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производство строительных материалов, изделий и конструкций, научно-исследовательская и образовательная деятельность. Отдельным направлением выделяется развитие глубокой переработки древесины</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фундаменты и элементы нулевого цикла;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строительные материалы;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деревянные строительные конструкции и столярные изделия;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материалы для внутренней отделки, мебель;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напольные покрытия;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корпусная мебель 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"Игоревский деревообрабатывающий комбинат";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"ЭГГЕР ДРЕВПРОДУКТ ГАГАРИН";</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"Мебельный комбинат "Ярцево";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"Смоленский завод ЖБИ-2";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"Стройдеталь";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"Завод ЖБИ";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"Вяземский ДСК";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"Сафоновский ССК";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завод железобетонных шпал - филиал ОАО "РЖД";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ЗАО "Монолит";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"Кирпичный завод";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"Теллура";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"Гнездово";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"Гнездовский завод ЖБИ";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"Смоленский ДОК";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"Фаянс"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ежегодный рост объемов реализуемой продукции участников кластера на 5 - 15% </w:t>
            </w:r>
            <w:hyperlink w:anchor="Par1388" w:history="1">
              <w:r>
                <w:rPr>
                  <w:rFonts w:ascii="Calibri" w:hAnsi="Calibri" w:cs="Calibri"/>
                  <w:color w:val="0000FF"/>
                </w:rPr>
                <w:t>&lt;23&gt;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89" w:history="1">
              <w:r>
                <w:rPr>
                  <w:rFonts w:ascii="Calibri" w:hAnsi="Calibri" w:cs="Calibri"/>
                  <w:color w:val="0000FF"/>
                </w:rPr>
                <w:t>&lt;24&gt;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технологического и технического уровня предприятий - участников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рост количества малых и средних предприятий, включенных в цепочки добавленной стоимости </w:t>
            </w:r>
            <w:r>
              <w:rPr>
                <w:rFonts w:ascii="Calibri" w:hAnsi="Calibri" w:cs="Calibri"/>
              </w:rPr>
              <w:lastRenderedPageBreak/>
              <w:t>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профессионального (среднего и высшего) образования по направлению деревообработка</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Животноводческий, процессный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животноводство (племенное и товарное животноводство молочного и молочно-мясного направления) и переработка продукции животноводства</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племенной молодняк, мясо и субпродукты, консервы из мяса животных и птицы, колбасные изделия, сыры, масло животное, молоко, молочные продукты 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"Смоленское" по племенной работе, "КП "Рыбковское", ПСК "Новомихайловский", СХПК колхоз-племзавод "Радищево", ЗАО "Гагаринконсервмолоко", ООО "Промконсервы", ЗАО "Траст Национальная Холдинговая Компания", Агропромышленный холдинг "Seven Hills", ОАО "Сафоновомясопродукт" и другие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ежегодный рост объемов реализуемой продукции участников кластера на 4 - 15% </w:t>
            </w:r>
            <w:hyperlink w:anchor="Par1390" w:history="1">
              <w:r>
                <w:rPr>
                  <w:rFonts w:ascii="Calibri" w:hAnsi="Calibri" w:cs="Calibri"/>
                  <w:color w:val="0000FF"/>
                </w:rPr>
                <w:t>&lt;25&gt;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91" w:history="1">
              <w:r>
                <w:rPr>
                  <w:rFonts w:ascii="Calibri" w:hAnsi="Calibri" w:cs="Calibri"/>
                  <w:color w:val="0000FF"/>
                </w:rPr>
                <w:t>&lt;26&gt;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технологического и технического уровня организаций - участников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профессионального (среднего и высшего) образования по направлению животноводство</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смешанный тип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транспортно-логистический кластер включает в себя комплекс инфраструктуры и компаний, специализирующихся на </w:t>
            </w:r>
            <w:r>
              <w:rPr>
                <w:rFonts w:ascii="Calibri" w:hAnsi="Calibri" w:cs="Calibri"/>
              </w:rPr>
              <w:lastRenderedPageBreak/>
              <w:t>хранении, сопровождении и доставке грузов и пассажиров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виды услуг, оказываемые предприятиями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таможенные услуги;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грузоперевозки;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складские услуги;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и другие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СВХ: ООО "Альфа Транс", ООО "Альфа Транс Терминал", ООО "Ренус Терминал", ООО "ЕВРОТРАНССЕРВИС", ООО "Катынский терминал"; </w:t>
            </w:r>
            <w:r>
              <w:rPr>
                <w:rFonts w:ascii="Calibri" w:hAnsi="Calibri" w:cs="Calibri"/>
              </w:rPr>
              <w:lastRenderedPageBreak/>
              <w:t>Смоленское отделение Московской железной дороги, ООО "ЖелДорЭкспедиция", другие транспортно-логистические, экспедиционные компании, организации, оказывающие услуги по техническому обслуживанию автомобилей и придорожному сервису</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ежегодный рост грузоперевозок на 5 - 15% </w:t>
            </w:r>
            <w:hyperlink w:anchor="Par1392" w:history="1">
              <w:r>
                <w:rPr>
                  <w:rFonts w:ascii="Calibri" w:hAnsi="Calibri" w:cs="Calibri"/>
                  <w:color w:val="0000FF"/>
                </w:rPr>
                <w:t>&lt;27&gt;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увеличение протяженности автомобильных дорог общего пользования, соответствующих </w:t>
            </w:r>
            <w:r>
              <w:rPr>
                <w:rFonts w:ascii="Calibri" w:hAnsi="Calibri" w:cs="Calibri"/>
              </w:rPr>
              <w:lastRenderedPageBreak/>
              <w:t xml:space="preserve">нормативным требованиям к транспортно-эксплуатационным показателям (в 2014 г. - 2579,22 км; в 2015 г. - 2667,52 км; в 2016 г. - 2749,09 км) </w:t>
            </w:r>
            <w:hyperlink w:anchor="Par1393" w:history="1">
              <w:r>
                <w:rPr>
                  <w:rFonts w:ascii="Calibri" w:hAnsi="Calibri" w:cs="Calibri"/>
                  <w:color w:val="0000FF"/>
                </w:rPr>
                <w:t>&lt;28&gt;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1394" w:history="1">
              <w:r>
                <w:rPr>
                  <w:rFonts w:ascii="Calibri" w:hAnsi="Calibri" w:cs="Calibri"/>
                  <w:color w:val="0000FF"/>
                </w:rPr>
                <w:t>&lt;29&gt;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качественное и количественное развитие транспортно-логистической инфраструктуры;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технологического и технического уровня организаций - участников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профессионального (среднего и высшего) образования</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Туристический, тип "творческий"/туристический</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туристические услуги</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исторический туризм;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посещение мест жизни великих людей;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религиозный туризм и паломничество;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экологический туризм;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активный туризм и другое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основные музеи, достопримечательности в городе Смоленске и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Места отдыха.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Образовательные и научные институты по направлению туризма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 период с 2014 по 2025 гг. можно ожидать: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российских и иностранных прямых частных инвестиций в туристическую отрасль (суммы требуют уточнения);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развитие профессионального (среднего и высшего) образования</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68" w:name="Par1385"/>
      <w:bookmarkEnd w:id="68"/>
      <w:r>
        <w:rPr>
          <w:rFonts w:ascii="Calibri" w:hAnsi="Calibri" w:cs="Calibri"/>
        </w:rPr>
        <w:t>&lt;i&gt;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69" w:name="Par1386"/>
      <w:bookmarkEnd w:id="69"/>
      <w:r>
        <w:rPr>
          <w:rFonts w:ascii="Calibri" w:hAnsi="Calibri" w:cs="Calibri"/>
        </w:rPr>
        <w:t>&lt;21&gt;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0" w:name="Par1387"/>
      <w:bookmarkEnd w:id="70"/>
      <w:r>
        <w:rPr>
          <w:rFonts w:ascii="Calibri" w:hAnsi="Calibri" w:cs="Calibri"/>
        </w:rPr>
        <w:t>&lt;22&gt;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1" w:name="Par1388"/>
      <w:bookmarkEnd w:id="71"/>
      <w:r>
        <w:rPr>
          <w:rFonts w:ascii="Calibri" w:hAnsi="Calibri" w:cs="Calibri"/>
        </w:rPr>
        <w:t>&lt;23&gt; Расчеты авторов.</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2" w:name="Par1389"/>
      <w:bookmarkEnd w:id="72"/>
      <w:r>
        <w:rPr>
          <w:rFonts w:ascii="Calibri" w:hAnsi="Calibri" w:cs="Calibri"/>
        </w:rPr>
        <w:t>&lt;24&gt; Прогнозом социально-экономического развития Смоленской области на 2015 год и плановый период 2016 и 2017 годов.</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3" w:name="Par1390"/>
      <w:bookmarkEnd w:id="73"/>
      <w:r>
        <w:rPr>
          <w:rFonts w:ascii="Calibri" w:hAnsi="Calibri" w:cs="Calibri"/>
        </w:rPr>
        <w:t>&lt;25&gt; Расчеты авторов.</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4" w:name="Par1391"/>
      <w:bookmarkEnd w:id="74"/>
      <w:r>
        <w:rPr>
          <w:rFonts w:ascii="Calibri" w:hAnsi="Calibri" w:cs="Calibri"/>
        </w:rPr>
        <w:t>&lt;26&gt;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5" w:name="Par1392"/>
      <w:bookmarkEnd w:id="75"/>
      <w:r>
        <w:rPr>
          <w:rFonts w:ascii="Calibri" w:hAnsi="Calibri" w:cs="Calibri"/>
        </w:rPr>
        <w:t>&lt;27&gt; Расчеты авторов.</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6" w:name="Par1393"/>
      <w:bookmarkEnd w:id="76"/>
      <w:r>
        <w:rPr>
          <w:rFonts w:ascii="Calibri" w:hAnsi="Calibri" w:cs="Calibri"/>
        </w:rPr>
        <w:t xml:space="preserve">&lt;28&gt; Областная государственная </w:t>
      </w:r>
      <w:hyperlink r:id="rId21" w:history="1">
        <w:r>
          <w:rPr>
            <w:rFonts w:ascii="Calibri" w:hAnsi="Calibri" w:cs="Calibri"/>
            <w:color w:val="0000FF"/>
          </w:rPr>
          <w:t>программа</w:t>
        </w:r>
      </w:hyperlink>
      <w:r>
        <w:rPr>
          <w:rFonts w:ascii="Calibri" w:hAnsi="Calibri" w:cs="Calibri"/>
        </w:rPr>
        <w:t xml:space="preserve"> "Развитие дорожно-транспортного комплекса Смоленской области" на 2014 - 2020 годы".</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77" w:name="Par1394"/>
      <w:bookmarkEnd w:id="77"/>
      <w:r>
        <w:rPr>
          <w:rFonts w:ascii="Calibri" w:hAnsi="Calibri" w:cs="Calibri"/>
        </w:rPr>
        <w:t>&lt;29&gt;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78" w:name="Par1396"/>
      <w:bookmarkEnd w:id="78"/>
      <w:r>
        <w:rPr>
          <w:rFonts w:ascii="Calibri" w:hAnsi="Calibri" w:cs="Calibri"/>
        </w:rPr>
        <w:t>7.3. МИРОВЫЕ ЛИДЕРЫ В ПРИОРИТЕТНЫХ ОТРАСЛЯХ</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Привлечение в Смоленскую область проектов ведущих мировых компаний-лидеров можно рассматривать как один из эффективных инструментов развития приоритетных отраслей и реализации потенциала кластерных образований </w:t>
      </w:r>
      <w:hyperlink w:anchor="Par1402" w:history="1">
        <w:r>
          <w:rPr>
            <w:rFonts w:ascii="Calibri" w:hAnsi="Calibri" w:cs="Calibri"/>
            <w:color w:val="0000FF"/>
          </w:rPr>
          <w:t>(таблица 13)</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79" w:name="Par1400"/>
      <w:bookmarkEnd w:id="79"/>
      <w:r>
        <w:rPr>
          <w:rFonts w:ascii="Calibri" w:hAnsi="Calibri" w:cs="Calibri"/>
        </w:rPr>
        <w:t>Таблица 13</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80" w:name="Par1402"/>
      <w:bookmarkEnd w:id="80"/>
      <w:r>
        <w:rPr>
          <w:rFonts w:ascii="Calibri" w:hAnsi="Calibri" w:cs="Calibri"/>
        </w:rPr>
        <w:t>Представители ведущих компаний-лидеров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отраслях, приоритетных для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231"/>
        <w:gridCol w:w="6406"/>
      </w:tblGrid>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потенциального кластера</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мировых компаний-лидеров</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Машиностроительный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General Electric, США;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Siemens AG,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Hitachi, Япония;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Alstom, Франция;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Bombardier, Канада;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Shanghai Electric Group, Китай;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Finmeccanica, Италия;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Sulzer Group, Швейцария;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Vossloh Schwabe, Германия</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FACC AG, Австрия;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Hexcel Corporation, США;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Dassault Systemes, Франция;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BASF,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Bayer AG,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Dow Chemical, США;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LyondellBasell Industries, Нидерланды;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Linde AG,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Shin-Etsu Chemical, Япония;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Solvay, Бельгия;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Lanxess,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K+S,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Arkema, Франция</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Siemens AG,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Schneider Electric, Франция;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Mitsubishi Electric, Япония;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Emerson Electric, США;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Agilent Technologies, США;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LeGrand, Франция;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Prysmian, Италия;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WEG, Бразилия;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Omron, Япония;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LECO, США</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Кластер производства стройматериалов и деревообработки</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Saint-Gobain, Франция;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Holcim, Швейцария;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Lafarge, Франция;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HeidelbergCement,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China National Building, Китай;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International Paper, США;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Stora Enso, Финляндия</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Животноводческий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Unilever, Великобритания, Нидерланды;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Nestle, Швейцария;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Tulip Food Company, Дания;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Valio, Финляндия;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PepsiCo, США</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Nippon Express, Япония;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Yamato Holdings, Япония;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DHL,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TNT, Нидерланды;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LKW WALTER, Австрия</w:t>
            </w:r>
          </w:p>
        </w:tc>
      </w:tr>
      <w:tr w:rsidR="00703D06">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64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Deutsche Lufthansa,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Air France-KLM, Франция;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InterContinental Hotels Group, Великобритания;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Accor Group, Франция;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TUI AG,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Ausstellungs- und Messe-Ausschuss der Deutschen Wirtschaft e.V. (AUMA),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Messe Berlin, Германия;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The Walt Disney Company Parks and Resorts, США;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Universal Parks and Resorts, США</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Более детальная информация о компаниях-лидерах в отраслях представлена в </w:t>
      </w:r>
      <w:hyperlink w:anchor="Par8484" w:history="1">
        <w:r>
          <w:rPr>
            <w:rFonts w:ascii="Calibri" w:hAnsi="Calibri" w:cs="Calibri"/>
            <w:color w:val="0000FF"/>
          </w:rPr>
          <w:t>приложении 7</w:t>
        </w:r>
      </w:hyperlink>
      <w:r>
        <w:rPr>
          <w:rFonts w:ascii="Calibri" w:hAnsi="Calibri" w:cs="Calibri"/>
        </w:rPr>
        <w:t xml:space="preserve"> к настоящему документу.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81" w:name="Par1475"/>
      <w:bookmarkEnd w:id="81"/>
      <w:r>
        <w:rPr>
          <w:rFonts w:ascii="Calibri" w:hAnsi="Calibri" w:cs="Calibri"/>
        </w:rPr>
        <w:t>7.4. ИНСТРУМЕНТЫ И ФОРМЫ ПОДДЕРЖКИ РАЗВИТИЯ КЛАСТЕРОВ</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на федеральном уровне поддержка развития кластеров осуществляется по следующим направлениям: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Поддержка инновационных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Поддержка туристско-рекреационных и автотуристских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Поддержка центров кластерного развития и курируемых ими кластеров (в рамках поддержки МСП).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Привлечение средств институтов развития федерального уровня.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Инновационный кластер - это кластер со значимой (по сравнению с отраслевыми и страновыми показателями) долей инновационной продукции кластера. Перечень пилотных инновационных кластеров, утвержденный Поручением Правительства Российской Федерации от 28.08.2012 N ДМ-П8-5060, включает 25 кластеров. За успешным опытом реализации экономической политики с использованием формата организации кластера на территории субъекта Российской Федерации можно обратиться к любому региону из приведенного перечня: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город Москва (кластер "Зеленоград", новые материалы, лазерные и радиационные технологии (г. Троицк));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Калужская область (кластер фармацевтики, биотехнологий и биомедицины);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Московская область (биотехнологический инновационный территориальный кластер Пущино, кластер "Физтех XXI" (г. Долгопрудный, г. Химки); кластер ядерно-физических и нанотехнологий в г. Дубне);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Архангельская область (судостроительный инновационный территориальный кластер Архангельской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город Санкт-Петербург (развитие информационных технологий, радиоэлектроники, приборостроения, средств связи и инфотелекоммуникаций г. Санкт-Петербурга, кластер медицинской, фармацевтической промышленности, радиационных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Нижегородская область (Нижегородский индустриальный инновационный кластер в области автомобилестроения и нефтехимии, Саровский инновационный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Пермский край (инновационный территориальный кластер ракетного двигателестроения "Технополис "Новый Звездный");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Республика Башкортостан (нефтехимический территориальный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Республика Мордовия (энергоэффективная светотехника и интеллектуальные системы управления освещением);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Республика Татарстан (Камский инновационный территориально-производственный кластер Республики Татарстан);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Самарская область (инновационный территориальный аэрокосмический кластер Самарской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Ульяновская область (консорциум "Научно-образовательно-производственный кластер "Ульяновск-Авиа"), ядерно-инновационный кластер г. Димитровграда Ульяновской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Свердловская область (титановый кластер Свердловской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Алтайский край (Алтайский биофармацевтический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Кемеровская область (комплексная переработка угля и техногенных отходов в Кемеровской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Красноярский край (кластер инновационных технологий ЗАТО, г. Железногорск);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Новосибирская область (инновационный кластер информационных и биофармацевтических технологий Новосибирской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Томская область (фармацевтика, медицинская техника и информационные технологии Томской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Хабаровский край (инновационный территориальный кластер авиастроения и судостроения Хабаровского края).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Поддержка пилотных инновационных кластеров осуществляется посредством предоставления субсидий из федерального бюджета бюджетам субъектов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предоставляются 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деятельности специализированных организаций, осуществляющих методическое, организационное, экспертно-аналитическое и информационное сопровождение развития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профессиональную переподготовку, повышение квалификации и проведение стажировок работников организаций - участников кластера (в том числе за рубежом);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консультирование организаций - участников кластера по вопросам разработки инвестиционных проектов в инновационной сфере;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участие в выставках, конференциях, форумах, семинарах, круглых столах в Российской Федерации и за рубежом;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объектов инновационной, образовательной, транспортной, энергетической, инженерной и социальной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на поддержку инновационных кластеров из федерального бюджета было направлено 1,3 млрд. руб. В 2014 году предусмотрено уже 2,5 млрд.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Поддержка туристско-рекреационных и автотуристских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туристско-рекреационный кластер - комплекс взаимосвязанных объектов рекреационной и культурной направленности (коллективных средств размещения, предприятий питания и сопутствующих сервисов, снабженных необходимой обеспечивающей инфраструктурой);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автотуристские кластеры объединяют предприятия и организации, предоставляющие туристские и сопутствующие услуги, взаимно дополняющие друг друга и обеспечивающие цивилизованные условия для автотуристов (придорожные гостиницы (мотели), кемпинги, парковки для легкового и пассажирского автотранспорта, кафе и рестораны, автосервисы, магазины придорожной торговли, автозаправочные комплексы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Поддержка данных кластеров оказывается по </w:t>
      </w:r>
      <w:hyperlink r:id="rId22" w:history="1">
        <w:r>
          <w:rPr>
            <w:rFonts w:ascii="Calibri" w:hAnsi="Calibri" w:cs="Calibri"/>
            <w:color w:val="0000FF"/>
          </w:rPr>
          <w:t>ФЦП</w:t>
        </w:r>
      </w:hyperlink>
      <w:r>
        <w:rPr>
          <w:rFonts w:ascii="Calibri" w:hAnsi="Calibri" w:cs="Calibri"/>
        </w:rPr>
        <w:t xml:space="preserve"> "Развитие внутреннего и въездного туризма в Российской Федерации (2011 - 2018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из федерального бюджета предоставляются 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капитальное строительство и модернизацию объектов обеспечивающей инфраструктуры создаваемых туристских объектов с длительным сроком окупаемости;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частичное возмещение процентных ставок по кредитам и займам, привлеченным инвесторами в российских кредитных организациях и направляемым для развития объектов туристско-рекреационного использования с длительным сроком окупаемости;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работ и оказание услуг, связанных с внедрением инновационных технологий в области внутреннего и въездного туризма, предусматривающих в том числе разработку механизмов повышения конкурентоспособности отечественного туристского продукта;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реализация мероприятий по обеспечению широкомасштабной кампании, направленной на продвижение отечественного туристского продукта на внутреннем и мировом рынках (при этом внебюджетные средства будут направляться на коммерческую рекламу создаваемых туристских продуктов);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мероприятий, направленных на развитие системы подготовки кадров в сфере туризма;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реализация мероприятий, направленных на повышение престижности туристских профессий и привлечение квалифицированных специалистов в отрасль.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Требования, установленные к инвестиционным проектам по развитию туристско-рекреационных кластеров, приведены в </w:t>
      </w:r>
      <w:hyperlink r:id="rId23" w:history="1">
        <w:r>
          <w:rPr>
            <w:rFonts w:ascii="Calibri" w:hAnsi="Calibri" w:cs="Calibri"/>
            <w:color w:val="0000FF"/>
          </w:rPr>
          <w:t>Приказе</w:t>
        </w:r>
      </w:hyperlink>
      <w:r>
        <w:rPr>
          <w:rFonts w:ascii="Calibri" w:hAnsi="Calibri" w:cs="Calibri"/>
        </w:rPr>
        <w:t xml:space="preserve"> Ростуризма от 22.04.2013 N 120-Пр/13 "Об утверждении положения о конкурсном отборе инвестиционных проектов для включения в состав мероприятий федеральной целевой программы "Развитие внутреннего и въездного туризма в Российской Федерации (2011 - 2018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Поддержка создания и обеспечение деятельности центров кластерного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ЦКР - структурное подразделение юридического лица или самостоятельное юридическое лицо: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которое относится к инфраструктуре поддержки МСП;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одним из учредителей которого является субъект Российской Федерации или муниципальное образование.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деятельности ЦКР - создание условий для эффективного взаимодействия участников кластеров, учреждений образования и науки, некоммерческих и общественных организаций, исполнительных органов государственной власти, органов местного самоуправления и инвесторов в интересах развития кластеров, обеспечение реализации совместных кластерных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задачами ЦКР по развитию кластеров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инвестиционных программ и проектов развития кластеров, разработка ТЭО;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мониторинга состояния инновационного, научного, производственного, финансово-экономического потенциала кластеров и актуализация программ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(организационное проектирование) цепочек взаимодействия в интересах участников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реализация совместных кластерных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предоставление консультационных услуг в интересах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содействия участникам кластеров при получении государственной поддержки;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вывод на рынок новых продуктов (услуг) участников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участия субъектов МСП - участников кластеров в ключевых отраслевых мероприятиях на крупных российских и международных выставочных площадках;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 вебинаров, круглых столов, конференций, семинаров в сфере интересов участников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Поддержка создания и обеспечения деятельности ЦКР осуществляется в рамках Государственной </w:t>
      </w:r>
      <w:hyperlink r:id="rId24" w:history="1">
        <w:r>
          <w:rPr>
            <w:rFonts w:ascii="Calibri" w:hAnsi="Calibri" w:cs="Calibri"/>
            <w:color w:val="0000FF"/>
          </w:rPr>
          <w:t>программы</w:t>
        </w:r>
      </w:hyperlink>
      <w:r>
        <w:rPr>
          <w:rFonts w:ascii="Calibri" w:hAnsi="Calibri" w:cs="Calibri"/>
        </w:rPr>
        <w:t xml:space="preserve"> Российской Федерации "Экономическое развитие и инновационная экономика".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федерального бюджета представляются субъектам Российской Федерации при наличии: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концепции создания (развития) ЦКР с указанием целей и задач, предпосылок создания, направлений деятельности, системы управления, пользователей услуг, перечня и объема предоставляемых услуг и их стоимости, плана финансово-хозяйственной деятельности;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плана работ ЦКР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планируемых значений показателей эффективности реализации мероприятия по созданию и (или) обеспечению деятельности;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отчета о деятельности ЦКР за предыдущий год (для ЦКР, созданных до 01.01.2014).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ЦКР в рамках этой же государственной программы выделяются средства на создание центров прототипирования, инжиниринга, коллективного пользования и т.д. Это та инфраструктура, которая также помогает развивать территориальные кластеры.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Основными финансовыми инструментами и формами поддержки развития кластеров могут выступить: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Группа Внешэкономбанка: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Внешэкономбанк: предоставление кредитов, займов, осуществление лизинговых операций; выдача гарантий и поручительств; участие в уставных капиталах;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ВЭБ Инжиниринг: 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 организация финансирования проектов, оценка бизнеса и активов;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Фонд "ВЭБ-инновации": финансовое содействие развитию инновационных проектов в РФ;</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ОАО "Связь-Банк": программа "Господдержка малого и среднего предпринимательства на цели инноваций, модернизации и энергоэффективности в рамках предоставляемого ОАО "МСП Банк" финансирования";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ВТБ Капитал: инвестиционные кредиты; инвестиции в капитал.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Фонд содействия развитию малых форм предприятий в научно-технической сфере: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программа "СТАРТ" - поддержка инновационных проектов начинающих предприятий;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программа "Развитие" - поддержка инновационных проектов по приоритетным направлениям науки и техники;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программа "Кооперация" - развитие производственной кооперации малого и крупного бизнеса;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программа по поддержке совместных международных проектов с участием малых российских инновационных компаний в рамках соглашений о сотрудничестве.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Дочерние фонды ОАО "РВК":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инфраструктурные инвестиции РВК (Инфрафонд РВК): инвестиции в УК, предоставление инвестиционного займа;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Фонд посевных инвестиций РВК (ФПИ РВК, Фонд): соинвестирование средств совместно с частными инвесторами;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биофармацевтические инвестиции РВК (Биофонд РВК): Биофонд РВК будет инвестировать в сервисные компании кластера и в биотехнологические стартапы.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Агентство по ипотечному жилищному кредитованию (АИЖК):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реализация проектов по арендному жилью;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программа финансирования проектной и инновационной деятельности "Соинвестирование".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Российский фонд технологического развития: беспроцентные целевые займы на выполнение НИОКР.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нефинансовыми инструментами и формами поддержки развития кластеров могут выступить: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ВЭБ Инжиниринг: 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РОСНАНО: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региональные и отраслевые планы (программы) стимулирования спроса на инновационную, в том числе нанотехнологическую, продукцию;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технологическая инфраструктура;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формирование кадровой базы наноиндустрии;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сертификация продукции и систем менеджмента в сфере наноиндустрии;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реестр инновационных продуктов, технологий и услуг, рекомендуемых к использованию в РФ.</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РФТР: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консультационно-образовательные услуги в области коммерциализации научно-технических разработок;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научно-технической и технологической экспертизы инновационных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ТПП РФ:</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совершенствование законодательства в сфере инновационной деятельности, разработка необходимых поправок в существующее законодательство;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презентации экономического и инвестиционного потенциала субъектов РФ;</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"Инвестопроводящая сеть ТПП РФ": оказание содействия разработчикам инновационных и инвестиционных проектов в поиске инвестора, оказание содействия инвесторам в подборе инвестиционной площадки;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презентационные сессии инновационных и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выставочно-конгрессная деятельность, содействующая международным экономическим связям.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НИУ ВШЭ:</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экспертно-аналитическая поддержка региональных органов власти/территориальных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технологических дорожных карт по приоритетным для регионов/кластеров направлениям;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"упаковка" региональных инвестиционных проектов в соответствии с требованиями институтов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технологическая экспертиза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РВК: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региональные сессии практического консалтинга (РСПК);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открытые образовательные программы (школы, семинары, тренинги);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профессиональное сообщество менеджеров топ-уровня крупных компаний, отвечающих за научно-исследовательскую деятельность (iR&amp;D Club);</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профессиональное сообщество венчурных инвесторов Российский Венчурный клуб (Russian VC Club);</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проект по расчету и присвоению стартапам ранней стадии, не имеющим регулярного финансового оборота, индекса инвестиционной привлекательности;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рейтинг российских высокотехнологичных быстроразвивающихся компаний "ТехУспех";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проект "Региональный бизнес-катализатор" - тиражирование модели (установочной документации) работы регионального бизнес-катализатора в территориально-отраслевых кластерах (центрах);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проект "Центр технологического предпринимательства вуза" - тиражирование типового решения по созданию инновационного центра (ИЦ) при региональном технологическом вузе/НПО;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информационно-образовательный онлайн-проект LearnIP.ru;</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онлайн-платформа технологического брокера Venture IP;</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проект "Информационный портал территориально-отраслевого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Подробная информация по инструментам и формам поддержки развития кластеров представлена в </w:t>
      </w:r>
      <w:hyperlink w:anchor="Par9132" w:history="1">
        <w:r>
          <w:rPr>
            <w:rFonts w:ascii="Calibri" w:hAnsi="Calibri" w:cs="Calibri"/>
            <w:color w:val="0000FF"/>
          </w:rPr>
          <w:t>приложении 8</w:t>
        </w:r>
      </w:hyperlink>
      <w:r>
        <w:rPr>
          <w:rFonts w:ascii="Calibri" w:hAnsi="Calibri" w:cs="Calibri"/>
        </w:rPr>
        <w:t xml:space="preserve"> к настоящему документу.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82" w:name="Par1600"/>
      <w:bookmarkEnd w:id="82"/>
      <w:r>
        <w:rPr>
          <w:rFonts w:ascii="Calibri" w:hAnsi="Calibri" w:cs="Calibri"/>
        </w:rPr>
        <w:t>7.4.1. ДОРОЖНАЯ КАРТА ПО ФОРМИРОВАНИЮ КЛАСТЕРОВ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83" w:name="Par1603"/>
      <w:bookmarkEnd w:id="83"/>
      <w:r>
        <w:rPr>
          <w:rFonts w:ascii="Calibri" w:hAnsi="Calibri" w:cs="Calibri"/>
        </w:rPr>
        <w:t>План мероприятий по формированию и развитию</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Машиностроительного кластера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будут производство транспортных средств, машин и оборудования, научно-исследовательская и образовательная деятельность.</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84" w:name="Par1608"/>
      <w:bookmarkEnd w:id="84"/>
      <w:r>
        <w:rPr>
          <w:rFonts w:ascii="Calibri" w:hAnsi="Calibri" w:cs="Calibri"/>
        </w:rPr>
        <w:t>Таблица 13.1</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Дорожная карта по формированию Машиностроительного кластера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Ответственный исполнитель/соисполнители</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85" w:name="Par1617"/>
            <w:bookmarkEnd w:id="85"/>
            <w:r>
              <w:rPr>
                <w:rFonts w:ascii="Calibri" w:hAnsi="Calibri" w:cs="Calibri"/>
              </w:rPr>
              <w:t>I. Информационно-методическое, организационное, правовое, кадровое обеспечение деятельности по развитию Машиностроительного кластера в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Центр кластерного развития Смоленской области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Гагарина, Рославля, Смоленска, Ярцево, пгт. Кардымово.</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ДПТ,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ДПТ, 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утверждение Стратегии, Концепции развития Машиностроительного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86" w:name="Par1690"/>
            <w:bookmarkEnd w:id="86"/>
            <w:r>
              <w:rPr>
                <w:rFonts w:ascii="Calibri" w:hAnsi="Calibri" w:cs="Calibri"/>
              </w:rPr>
              <w:t>II. Развитие производственного потенциала и производственной кооперации в области машиностроения</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планов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стратегии выхода инновационных 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концепция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Ускорение развития компаний - участников Кластера, выход на внешние рынки.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Рост объемов реализуемой продукции участников кластера за счет технического перевооружения и внедрения новых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новых высокопроизводительных рабочих мест.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Рост числа подач в Роспатент заявок на объекты интеллектуальной собственности.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87" w:name="Par1714"/>
      <w:bookmarkEnd w:id="87"/>
      <w:r>
        <w:rPr>
          <w:rFonts w:ascii="Calibri" w:hAnsi="Calibri" w:cs="Calibri"/>
        </w:rPr>
        <w:t>План мероприятий по формированию и развитию Композитного</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кластера (включая производство продукции химической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 нефтехимической промышленности)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являются организация инновационного производства по изготовлению композитных материалов, производство продукции из углеводородного, минерального и другого сырья путем его химической переработки, научно-исследовательская и образовательная деятельность.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88" w:name="Par1720"/>
      <w:bookmarkEnd w:id="88"/>
      <w:r>
        <w:rPr>
          <w:rFonts w:ascii="Calibri" w:hAnsi="Calibri" w:cs="Calibri"/>
        </w:rPr>
        <w:t>Таблица 13.2</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Дорожная карта по формированию Композитного</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кластера (включая производство продукции химической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 нефтехимической промышленности)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Ответственный исполнитель/соисполнители</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89" w:name="Par1730"/>
            <w:bookmarkEnd w:id="89"/>
            <w:r>
              <w:rPr>
                <w:rFonts w:ascii="Calibri" w:hAnsi="Calibri" w:cs="Calibri"/>
              </w:rPr>
              <w:t>I. Информационно-методическое, организационное, правовое, кадровое обеспечение деятельности по развитию Композитного кластера (включая производство продукции химической и нефтехимической промышленности) в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Десногорска, Сафоново, Ярцево, п. Верхнеднепровский, Села Ворга Ершичского района.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ДПТ,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протокол дальнейших </w:t>
            </w:r>
            <w:r>
              <w:rPr>
                <w:rFonts w:ascii="Calibri" w:hAnsi="Calibri" w:cs="Calibri"/>
              </w:rPr>
              <w:lastRenderedPageBreak/>
              <w:t>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ДЭР, ДПТ, ЦКР, участники </w:t>
            </w:r>
            <w:r>
              <w:rPr>
                <w:rFonts w:ascii="Calibri" w:hAnsi="Calibri" w:cs="Calibri"/>
              </w:rPr>
              <w:lastRenderedPageBreak/>
              <w:t>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утверждение Стратегии, Концепции развития Композитного кластера (включая производство продукции химической и нефтехимической промышленности)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проекта документов для конкурсной заявки для получения государственного финансирования Кластера (для кластеров, подходящих под параметры инновационных)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проект пакета документов для подачи заявки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90" w:name="Par1815"/>
            <w:bookmarkEnd w:id="90"/>
            <w:r>
              <w:rPr>
                <w:rFonts w:ascii="Calibri" w:hAnsi="Calibri" w:cs="Calibri"/>
              </w:rPr>
              <w:t>II. Развитие производственного потенциала и производственной кооперации в области производства композитных материалов, а также продукции химической и нефтехимической промышленности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планов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Формирование стратегии выхода инновационных </w:t>
            </w:r>
            <w:r>
              <w:rPr>
                <w:rFonts w:ascii="Calibri" w:hAnsi="Calibri" w:cs="Calibri"/>
              </w:rPr>
              <w:lastRenderedPageBreak/>
              <w:t>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концепция продвижения продукции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bl>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Ускорение развития компаний - участников Кластера, выход на внешние рынки.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Рост объемов реализуемой продукции участников кластера за счет технического перевооружения и внедрения новых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новых высокопроизводительных рабочих мест, а также трудоустройство по профессии нескольких сотен молодых специалистов технических специальностей.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Улучшение экономических показателей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91" w:name="Par1835"/>
      <w:bookmarkEnd w:id="91"/>
      <w:r>
        <w:rPr>
          <w:rFonts w:ascii="Calibri" w:hAnsi="Calibri" w:cs="Calibri"/>
        </w:rPr>
        <w:t>План мероприятий по формированию и развитию Кластера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приборостроения и электротехники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планируются 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научно-исследовательская и образовательная деятельность.</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92" w:name="Par1840"/>
      <w:bookmarkEnd w:id="92"/>
      <w:r>
        <w:rPr>
          <w:rFonts w:ascii="Calibri" w:hAnsi="Calibri" w:cs="Calibri"/>
        </w:rPr>
        <w:t>Таблица 13.3</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Дорожная карта по формированию Кластера приборостроения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 электротехники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142"/>
        <w:gridCol w:w="2976"/>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Ответственный исполнитель/соисполнители</w:t>
            </w:r>
          </w:p>
        </w:tc>
      </w:tr>
      <w:tr w:rsidR="00703D06">
        <w:tc>
          <w:tcPr>
            <w:tcW w:w="980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93" w:name="Par1849"/>
            <w:bookmarkEnd w:id="93"/>
            <w:r>
              <w:rPr>
                <w:rFonts w:ascii="Calibri" w:hAnsi="Calibri" w:cs="Calibri"/>
              </w:rPr>
              <w:t>I. Информационно-методическое, организационное, правовое, кадровое обеспечение деятельности по развитию Кластера приборостроения и электротехники в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Гагарина, Сафоново, Смоленска, пгт. Голынки, Кардымово.</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формирование его органов управления</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и избрание его руководящих органов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ДПТ,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Учредительное собрание</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протокол дальнейших действий по развитию Кластера. Утвержденный состав стратегического и координационного советов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ДПТ, 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Организация программ </w:t>
            </w:r>
            <w:r>
              <w:rPr>
                <w:rFonts w:ascii="Calibri" w:hAnsi="Calibri" w:cs="Calibri"/>
              </w:rPr>
              <w:lastRenderedPageBreak/>
              <w:t>обучения и программ стажировок</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повышение </w:t>
            </w:r>
            <w:r>
              <w:rPr>
                <w:rFonts w:ascii="Calibri" w:hAnsi="Calibri" w:cs="Calibri"/>
              </w:rPr>
              <w:lastRenderedPageBreak/>
              <w:t>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Стратегическая сессия</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предложения по организации плана развития Кластера, проект плана развития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стратегических документов развития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утверждение стратегии, Концепции развития Кластера приборостроения и электротехники Смоленской области общим собранием участников Кластера</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проекта документов для конкурсной заявки для получения государственного финансирования Кластера (для кластеров, подходящих под параметры инновационных)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проект пакета документов для подачи заявки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единого web-сайта Кластера и элементов бренда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Запуск web-сайта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разработанный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и администрирование web-сайта Кластера</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регулярно актуализирующийся Интернет-ресурс</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публикаций в печатных изданиях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публикации в печатном издании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информационно-справочных материалов</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информационные буклеты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PR и GR мероприятий по продвижению кластера в отраслевом информационном поле</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известности, информированности внешних контрагентов Кластера</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российскими игроками отрасли</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зарубежными игроками отрасли</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подготовка, создание и реализация проектов взаимодействия организаций - </w:t>
            </w:r>
            <w:r>
              <w:rPr>
                <w:rFonts w:ascii="Calibri" w:hAnsi="Calibri" w:cs="Calibri"/>
              </w:rPr>
              <w:lastRenderedPageBreak/>
              <w:t>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участники Кластера</w:t>
            </w:r>
          </w:p>
        </w:tc>
      </w:tr>
      <w:tr w:rsidR="00703D06">
        <w:tc>
          <w:tcPr>
            <w:tcW w:w="980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94" w:name="Par1926"/>
            <w:bookmarkEnd w:id="94"/>
            <w:r>
              <w:rPr>
                <w:rFonts w:ascii="Calibri" w:hAnsi="Calibri" w:cs="Calibri"/>
              </w:rPr>
              <w:lastRenderedPageBreak/>
              <w:t>II. Развитие производственного потенциала и производственной кооперации в области приборостроения и электротехники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маркетингового исследования отраслевых рынков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планов продвижения продукции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стратегии выхода инновационных проектов Кластера на национальный и мировой рынки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концепция продвижения продукции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подготовка, создание и реализация проектов взаимодействия организаций - участников Кластера в части развития и модернизации производственной </w:t>
            </w:r>
            <w:r>
              <w:rPr>
                <w:rFonts w:ascii="Calibri" w:hAnsi="Calibri" w:cs="Calibri"/>
              </w:rPr>
              <w:lastRenderedPageBreak/>
              <w:t>инфраструктуры, повышения доступности и качества НИОКР, снижения транспортных издержек и т.д.</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участники Кластера</w:t>
            </w:r>
          </w:p>
        </w:tc>
      </w:tr>
    </w:tbl>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Ускорение развития компаний - участников Кластера, выход на внешние рынки.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Рост объемов реализуемой продукции участников кластера за счет технического перевооружения и внедрения новых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новых высокопроизводительных рабочих мест.</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95" w:name="Par1953"/>
      <w:bookmarkEnd w:id="95"/>
      <w:r>
        <w:rPr>
          <w:rFonts w:ascii="Calibri" w:hAnsi="Calibri" w:cs="Calibri"/>
        </w:rPr>
        <w:t>План мероприятий по формированию и развитию</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Кластера производства стройматериалов и деревообработки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будут являться производство строительных материалов, изделий и конструкций, научно-исследовательская и образовательная деятельность. Отдельным направлением выделяется развитие глубокой переработки древесины.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96" w:name="Par1959"/>
      <w:bookmarkEnd w:id="96"/>
      <w:r>
        <w:rPr>
          <w:rFonts w:ascii="Calibri" w:hAnsi="Calibri" w:cs="Calibri"/>
        </w:rPr>
        <w:t>Таблица 13.4</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Дорожная карта по формированию Кластера стройматериалов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 деревообработки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Ответственный исполнитель/соисполнители</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97" w:name="Par1968"/>
            <w:bookmarkEnd w:id="97"/>
            <w:r>
              <w:rPr>
                <w:rFonts w:ascii="Calibri" w:hAnsi="Calibri" w:cs="Calibri"/>
              </w:rPr>
              <w:t>I. Информационно-методическое, организационное, правовое, кадровое обеспечение деятельности по развитию Кластера производства стройматериалов и деревообработки в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Уточнение перспектив формирования и развития Кластера, минимизация рисков, связанных с первичным формированием </w:t>
            </w:r>
            <w:r>
              <w:rPr>
                <w:rFonts w:ascii="Calibri" w:hAnsi="Calibri" w:cs="Calibri"/>
              </w:rPr>
              <w:lastRenderedPageBreak/>
              <w:t>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принятие решения о формировании Кластера и назначение ответственного за его формирование со стороны органов муниципальной и </w:t>
            </w:r>
            <w:r>
              <w:rPr>
                <w:rFonts w:ascii="Calibri" w:hAnsi="Calibri" w:cs="Calibri"/>
              </w:rPr>
              <w:lastRenderedPageBreak/>
              <w:t>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Департамент экономического развития Смоленской области (ДЭР), Департамент Смоленской области по строительству и жилищно-</w:t>
            </w:r>
            <w:r>
              <w:rPr>
                <w:rFonts w:ascii="Calibri" w:hAnsi="Calibri" w:cs="Calibri"/>
              </w:rPr>
              <w:lastRenderedPageBreak/>
              <w:t>коммунальному хозяйству (ДСЖКХ), Смоленский областной фонд поддержки предпринимательства, Центр кластерного развития Смоленской области (ЦКР), представители администраций городов Вязьмы, Гагарина, Сафоново, Смоленска, Ярцево, п. Игоревская</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ДСЖКХ,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ДСЖКХ, 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утверждение стратегии, Концепции развития Кластера производства стройматериалов и деревообработки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Разработка единого web-сайта Кластера и элементов бренда </w:t>
            </w:r>
            <w:r>
              <w:rPr>
                <w:rFonts w:ascii="Calibri" w:hAnsi="Calibri" w:cs="Calibri"/>
              </w:rPr>
              <w:lastRenderedPageBreak/>
              <w:t>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Разработка проекта документов для конкурсной заявки для получения </w:t>
            </w:r>
            <w:r>
              <w:rPr>
                <w:rFonts w:ascii="Calibri" w:hAnsi="Calibri" w:cs="Calibri"/>
              </w:rPr>
              <w:lastRenderedPageBreak/>
              <w:t>государственного финансирования Кластера (для кластеров, подходящих под параметры инновационных)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проект пакета документов для подачи заявки для проведения конкурсного отбора Кластеров </w:t>
            </w:r>
            <w:r>
              <w:rPr>
                <w:rFonts w:ascii="Calibri" w:hAnsi="Calibri" w:cs="Calibri"/>
              </w:rPr>
              <w:lastRenderedPageBreak/>
              <w:t>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98" w:name="Par2045"/>
            <w:bookmarkEnd w:id="98"/>
            <w:r>
              <w:rPr>
                <w:rFonts w:ascii="Calibri" w:hAnsi="Calibri" w:cs="Calibri"/>
              </w:rPr>
              <w:t>II. Развитие производственного потенциала и производственной кооперации в области производства стройматериалов и деревообработки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bl>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Ежегодный рост объемов реализуемой продукции участников кластера на 5 - 15%.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Создание более 790 новых рабочих мест.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Повышение технологического и технического уровня предприятий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Развитие профессионального (среднего и высшего) образования по направлению деревообработка.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99" w:name="Par2070"/>
      <w:bookmarkEnd w:id="99"/>
      <w:r>
        <w:rPr>
          <w:rFonts w:ascii="Calibri" w:hAnsi="Calibri" w:cs="Calibri"/>
        </w:rPr>
        <w:t>План мероприятий по формированию и развитию</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Животноводческого кластера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будут: животноводство (племенное и товарное животноводство молочного и молочно-мясного направления) и переработка продукции животноводства.</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100" w:name="Par2075"/>
      <w:bookmarkEnd w:id="100"/>
      <w:r>
        <w:rPr>
          <w:rFonts w:ascii="Calibri" w:hAnsi="Calibri" w:cs="Calibri"/>
        </w:rPr>
        <w:t>Таблица 13.5</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Дорожная карта по формированию Кластера продукции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животноводства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Ответственный исполнитель/соисполнители</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101" w:name="Par2084"/>
            <w:bookmarkEnd w:id="101"/>
            <w:r>
              <w:rPr>
                <w:rFonts w:ascii="Calibri" w:hAnsi="Calibri" w:cs="Calibri"/>
              </w:rPr>
              <w:t>I. Информационно-методическое, организационное, правовое, кадровое обеспечение деятельности по развитию Животноводческого кластера продукции животноводства в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в участии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 (ДЭР), Департамент Смоленской области по сельскому хозяйству и продовольствию Смоленской области (ДСХП), Смоленский областной фонд поддержки предпринимательства, Центр кластерного развития Смоленской области (ЦКР), представители администраций органов местного самоуправления.</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ДСХП,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ДСХП,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утверждение Стратегии, Концепции развития животноводческого кластера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102" w:name="Par2145"/>
            <w:bookmarkEnd w:id="102"/>
            <w:r>
              <w:rPr>
                <w:rFonts w:ascii="Calibri" w:hAnsi="Calibri" w:cs="Calibri"/>
              </w:rPr>
              <w:t>II. Развитие производственного потенциала и производственной кооперации в области животноводства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Ежегодный рост объемов реализуемой продукции участников кластера на 4 - 15%.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Создание более 1740 новых рабочих мест.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Развитие профессионального (среднего и высшего) образования по направлению животноводство.</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103" w:name="Par2173"/>
      <w:bookmarkEnd w:id="103"/>
      <w:r>
        <w:rPr>
          <w:rFonts w:ascii="Calibri" w:hAnsi="Calibri" w:cs="Calibri"/>
        </w:rPr>
        <w:t>План мероприятий по формированию и развитию</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Транспортно-логистического кластера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Транспортно-логистический кластер включает в себя комплекс инфраструктуры и компаний, специализирующихся на хранении, сопровождении и доставке грузов и пассажиров.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104" w:name="Par2178"/>
      <w:bookmarkEnd w:id="104"/>
      <w:r>
        <w:rPr>
          <w:rFonts w:ascii="Calibri" w:hAnsi="Calibri" w:cs="Calibri"/>
        </w:rPr>
        <w:t>Таблица 13.6</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Дорожная карта по формированию Транспортно-логистического</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кластера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118"/>
        <w:gridCol w:w="3231"/>
        <w:gridCol w:w="311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Ответственный исполнитель/соисполнители</w:t>
            </w:r>
          </w:p>
        </w:tc>
      </w:tr>
      <w:tr w:rsidR="00703D06">
        <w:tc>
          <w:tcPr>
            <w:tcW w:w="992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105" w:name="Par2187"/>
            <w:bookmarkEnd w:id="105"/>
            <w:r>
              <w:rPr>
                <w:rFonts w:ascii="Calibri" w:hAnsi="Calibri" w:cs="Calibri"/>
              </w:rPr>
              <w:t>I. Информационно-методическое, организационное, правовое, кадровое обеспечение деятельности по развитию Транспортно-логистического кластера в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 (ДЭР), Департамент Смоленской области по промышленности, транспорту и дорожному хозяйству Смоленской области (ДПТ), Смоленский областной фонд поддержки предпринимательства, Центр кластерного развития Смоленской области (ЦКР), представители администраций г. Смоленска, г. Рудни, д. Буда, Красной Горки, Стабны</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формирование его органов управления.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ДПТ,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Учредительное собрание</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ДПТ,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Стратегическая сессия</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Стратегических документов развития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утверждение Стратегии, Концепции развития Транспортно-логистического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единого web-сайта Кластера и элементов бренда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Запуск web-сайта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и администрирование web-сайта Кластера</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публикаций в печатных изданиях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информационно-справочных материалов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PR и GR мероприятий по продвижению кластера в отраслевом информационном поле</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российскими игроками отрасли</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зарубежными игроками отрасли</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на выставочных площадках отраслевых выставок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в круглых столах отраслевых форумов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в участии в образовательных программах</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992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106" w:name="Par2268"/>
            <w:bookmarkEnd w:id="106"/>
            <w:r>
              <w:rPr>
                <w:rFonts w:ascii="Calibri" w:hAnsi="Calibri" w:cs="Calibri"/>
              </w:rPr>
              <w:t>II. Развитие производственного потенциала и производственной кооперации в области транспорта и логистики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2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производственной инфраструктуры, повышения доступности и качества НИОКР, снижения транспортных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Ежегодный рост грузоперевозок на 5 - 15%.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Увеличение протяженности автомобильных дорог общего пользования, соответствующих нормативным требованиям к транспортно-эксплуатационным показателям.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более 4000 новых рабочих мест.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Качественное и количественное развитие транспортно-логистической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Повышение технологического и технического уровня предприятий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Развитие профессионального (среднего и высшего) образования.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107" w:name="Par2282"/>
      <w:bookmarkEnd w:id="107"/>
      <w:r>
        <w:rPr>
          <w:rFonts w:ascii="Calibri" w:hAnsi="Calibri" w:cs="Calibri"/>
        </w:rPr>
        <w:t>План мероприятий по формированию и развитию</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Туристического кластера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создания Восточного туристского кластера Смоленской области является повышение налоговых отчислений в бюджеты всех уровней за счет увеличения турпотока, на основе формирования экономически эффективной и технологически устойчивой комплексной системы современного обслуживания туристов.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108" w:name="Par2287"/>
      <w:bookmarkEnd w:id="108"/>
      <w:r>
        <w:rPr>
          <w:rFonts w:ascii="Calibri" w:hAnsi="Calibri" w:cs="Calibri"/>
        </w:rPr>
        <w:t>Таблица 13.7</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Дорожная карта по формированию Туристического кластера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118"/>
        <w:gridCol w:w="3118"/>
        <w:gridCol w:w="311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Ответственный исполнитель/соисполнители</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109" w:name="Par2296"/>
            <w:bookmarkEnd w:id="109"/>
            <w:r>
              <w:rPr>
                <w:rFonts w:ascii="Calibri" w:hAnsi="Calibri" w:cs="Calibri"/>
              </w:rPr>
              <w:t>I. Информационно-методическое, организационное, правовое, кадровое обеспечение деятельности по развитию Туристического кластера в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Уточнение перспектив формирования и развития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решения о формировании Кластера и назначение ответственного за его формирование со стороны органов муниципальной и региональной власти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 (ДЭР), Департамент Смоленской области по культуре и туризму Смоленской области (ДКТ), Смоленский областной фонд поддержки предпринимательства, Центр кластерного развития Смоленской области (ЦКР), представители администраций Вяземского, Гагаринского, Дорогобужского, Угранского, Новодугинского, Темкинского районов</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формирование его органов управления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юридическое оформление Кластера и избрание его руководящих органов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ДКТ,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Учредительное собрание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протокол дальнейших действий по развитию Кластера. Утвержденный состав стратегического и координационного советов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ДКТ, ЦКР</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Стратегическая сессия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предложения по организации плана развития Кластера, проект плана развития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Стратегических документов развития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утверждение Стратегии, Концепции развития Туристического кластера Смоленской области общим собранием участников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органы управления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единого web-сайта Кластера и элементов бренда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Запуск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разработанный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и администрирование web-сайта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регулярно актуализирующийся Интернет-ресурс</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публикаций в печатных изданиях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публикации в печатном издании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информационно-справочных материалов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информационные буклеты</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PR и GR мероприятий по продвижению кластера в отраслевом информационном поле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известности, информированности внешних контрагентов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российскими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соглашений о стратегическом партнерстве с ведущими зарубежными игроками отрасли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соглашения о партнерстве</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в участии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980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5"/>
              <w:rPr>
                <w:rFonts w:ascii="Calibri" w:hAnsi="Calibri" w:cs="Calibri"/>
              </w:rPr>
            </w:pPr>
            <w:bookmarkStart w:id="110" w:name="Par2357"/>
            <w:bookmarkEnd w:id="110"/>
            <w:r>
              <w:rPr>
                <w:rFonts w:ascii="Calibri" w:hAnsi="Calibri" w:cs="Calibri"/>
              </w:rPr>
              <w:t>II. Развитие производственного потенциала и производственной кооперации в области туризма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программ обучения и программ стажировок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участия в образовательных программах</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квалификаций/компетенций</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на выставочных площадках отраслевых выставок</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участия в круглых столах отраслевых форумов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приобретение новых связей и контактов, улучшение имиджа Кластера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ЦКР, участники Кластера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Совместные кластерные проекты участников</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создание и реализация проектов взаимодействия организаций - участников Кластера в части развития и модернизации туристической инфраструктуры, снижения маркетинговых издержек и т.д.</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участники Кластера</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Ожидаемые результаты: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период с 2014 по 2025 гг. можно ожидать рост объемов реализуемой продукции участников кластера на 80%.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Рост количества рабочих мест на 40%.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Рост российских и иностранных прямых частных инвестиций в туристическую отрасль.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11" w:name="Par2392"/>
      <w:bookmarkEnd w:id="111"/>
      <w:r>
        <w:rPr>
          <w:rFonts w:ascii="Calibri" w:hAnsi="Calibri" w:cs="Calibri"/>
        </w:rPr>
        <w:t>7.5. ТЕРРИТОРИАЛЬНЫЕ ТОЧКИ РОСТА И ДЕПРЕССИВНЫЕ ЗОНЫ</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 ОСНОВЕ АНАЛИЗА СТАТИСТИКИ ПО МУНИЦИПАЛЬНЫМ ОБРАЗОВАНИЯМ</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Ранжирование муниципальных образований Смоленской области было проведено как для оценки инвестиционного потенциала, так и для оценки реализации инвестиционного потенциала. Детальный анализ наличия инвестиционного потенциала и качества его реализации в муниципальных образованиях Смоленской области приведен в разделе 1.5 Отчета по I этапу "Исследование текущего состояния и процесса формирования инвестиционного климата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12" w:name="Par2398"/>
      <w:bookmarkEnd w:id="112"/>
      <w:r>
        <w:rPr>
          <w:rFonts w:ascii="Calibri" w:hAnsi="Calibri" w:cs="Calibri"/>
        </w:rPr>
        <w:t>Оценка инвестиционного потенциала муниципальных образований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Анализ статистики по муниципальным образованиям Смоленской области с целью оценки инвестиционного потенциала был проведен по следующим показателям: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оценка географического положения муниципального образования;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прирост среднемесячной номинальной начисленной заработной платы работников крупных и средних предприятий и некоммерческих организаций в 2012 г.,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общая площадь предлагаемых инвестиционных площадок (браунфилдов и гринфилдов), га.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13" w:name="Par2405"/>
      <w:bookmarkEnd w:id="113"/>
      <w:r>
        <w:rPr>
          <w:rFonts w:ascii="Calibri" w:hAnsi="Calibri" w:cs="Calibri"/>
        </w:rPr>
        <w:t>Оценка реализации инвестиционного потенциала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муниципальных образований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Анализ статистики по муниципальным образованиям Смоленской области с целью оценки реализации инвестиционного потенциала был проведен по следующим показателям: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объем инвестиций в основной капитал (за исключением бюджетных средств) в расчете на 1 чел.,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среднемесячная номинальная начисленная заработная плата работников крупных и средних предприятий и некоммерческих организаций,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число субъектов малого и среднего предпринимательства в расчете на 10 тысяч человек населения, 2010 г.</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14" w:name="Par2413"/>
      <w:bookmarkEnd w:id="114"/>
      <w:r>
        <w:rPr>
          <w:rFonts w:ascii="Calibri" w:hAnsi="Calibri" w:cs="Calibri"/>
        </w:rPr>
        <w:t>Классификация муниципальных образований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 инвестиционному потенциалу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анализа муниципальные образования Смоленской области были классифицированы по 4 группам в зависимости от наличия инвестиционного потенциала и качества его реализации </w:t>
      </w:r>
      <w:hyperlink w:anchor="Par2420" w:history="1">
        <w:r>
          <w:rPr>
            <w:rFonts w:ascii="Calibri" w:hAnsi="Calibri" w:cs="Calibri"/>
            <w:color w:val="0000FF"/>
          </w:rPr>
          <w:t>(таблица 14)</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15" w:name="Par2418"/>
      <w:bookmarkEnd w:id="115"/>
      <w:r>
        <w:rPr>
          <w:rFonts w:ascii="Calibri" w:hAnsi="Calibri" w:cs="Calibri"/>
        </w:rPr>
        <w:t>Таблица 14</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16" w:name="Par2420"/>
      <w:bookmarkEnd w:id="116"/>
      <w:r>
        <w:rPr>
          <w:rFonts w:ascii="Calibri" w:hAnsi="Calibri" w:cs="Calibri"/>
        </w:rPr>
        <w:t>Классификация муниципальных образований</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61"/>
        <w:gridCol w:w="1871"/>
        <w:gridCol w:w="2154"/>
        <w:gridCol w:w="1020"/>
        <w:gridCol w:w="2211"/>
        <w:gridCol w:w="1020"/>
      </w:tblGrid>
      <w:tr w:rsidR="00703D06">
        <w:tc>
          <w:tcPr>
            <w:tcW w:w="3232" w:type="dxa"/>
            <w:gridSpan w:val="2"/>
            <w:vMerge w:val="restart"/>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640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Реализация потенциала</w:t>
            </w:r>
          </w:p>
        </w:tc>
      </w:tr>
      <w:tr w:rsidR="00703D06">
        <w:tc>
          <w:tcPr>
            <w:tcW w:w="3232" w:type="dxa"/>
            <w:gridSpan w:val="2"/>
            <w:vMerge/>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317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отрицательная</w:t>
            </w:r>
          </w:p>
        </w:tc>
        <w:tc>
          <w:tcPr>
            <w:tcW w:w="32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положительная</w:t>
            </w:r>
          </w:p>
        </w:tc>
      </w:tr>
      <w:tr w:rsidR="00703D06">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Потенциал</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положительный</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группа 3</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Десногорск;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Смоленск;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Гагаринский;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Ярцевский;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Рославльский;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Руднянский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группа 1</w:t>
            </w:r>
          </w:p>
        </w:tc>
      </w:tr>
      <w:tr w:rsidR="00703D06">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отрицательный</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Починковский;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Духовщинский;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Велижский;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Новодугинский;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Ельнинский;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Хиславичский;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Угранский;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Ершичский;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Шумячский; Темкинский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группа 4</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Кардымовский </w:t>
            </w:r>
            <w:hyperlink w:anchor="Par2461" w:history="1">
              <w:r>
                <w:rPr>
                  <w:rFonts w:ascii="Calibri" w:hAnsi="Calibri" w:cs="Calibri"/>
                  <w:color w:val="0000FF"/>
                </w:rPr>
                <w:t>&lt;30&gt;</w:t>
              </w:r>
            </w:hyperlink>
            <w:r>
              <w:rPr>
                <w:rFonts w:ascii="Calibri" w:hAnsi="Calibri" w:cs="Calibri"/>
              </w:rPr>
              <w: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Дорогобужский;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Холм-Жирковский;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Сычевский</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группа 2</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17" w:name="Par2461"/>
      <w:bookmarkEnd w:id="117"/>
      <w:r>
        <w:rPr>
          <w:rFonts w:ascii="Calibri" w:hAnsi="Calibri" w:cs="Calibri"/>
        </w:rPr>
        <w:t>&lt;30&gt; По совокупности оценки инвестиционного потенциала и качества его реализации Кардымовский район относится к 4 группе муниципальных образований, имеющих низкий инвестиционный потенциал и неэффективно его реализующих. Однако последние действия органов местного самоуправления по реализации инвестиционного потенциала (открытие российско-бельгийского предприятия "Фрисомат Арсенал СТ", проработка ряда инвестиционных проектов, принятие ряда муниципальных программ в сфере инвестиционной политики района и т.д.) дают основания для получения существенных положительных изменений в экономике района в краткосрочной перспективе, что позволяет заочно отнести Кардымовский район ко 2 группе муниципальных образований (низкий инвестиционный потенциал, высокая эффективность его реализации).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18" w:name="Par2463"/>
      <w:bookmarkEnd w:id="118"/>
      <w:r>
        <w:rPr>
          <w:rFonts w:ascii="Calibri" w:hAnsi="Calibri" w:cs="Calibri"/>
        </w:rPr>
        <w:t>7.6. ИНВЕНТАРИЗАЦИЯ И ОЦЕНКА ЭФФЕКТИВНОСТИ ДЕЯТЕЛЬНОСТИ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ДОСТУПНОЙ ИНФРАСТРУКТУРЫ ДЛЯ РАЗМЕЩЕНИЯ ПРОИЗВОДСТВЕННЫХ</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 ИНЫХ ОБЪЕКТОВ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настоящий момент в Смоленской области представлено 277 инвестиционных площадок </w:t>
      </w:r>
      <w:hyperlink w:anchor="Par2469" w:history="1">
        <w:r>
          <w:rPr>
            <w:rFonts w:ascii="Calibri" w:hAnsi="Calibri" w:cs="Calibri"/>
            <w:color w:val="0000FF"/>
          </w:rPr>
          <w:t>&lt;31&gt;</w:t>
        </w:r>
      </w:hyperlink>
      <w:r>
        <w:rPr>
          <w:rFonts w:ascii="Calibri" w:hAnsi="Calibri" w:cs="Calibri"/>
        </w:rPr>
        <w:t xml:space="preserve"> и 18 производственных площадок </w:t>
      </w:r>
      <w:hyperlink w:anchor="Par2470" w:history="1">
        <w:r>
          <w:rPr>
            <w:rFonts w:ascii="Calibri" w:hAnsi="Calibri" w:cs="Calibri"/>
            <w:color w:val="0000FF"/>
          </w:rPr>
          <w:t>&lt;32&gt;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19" w:name="Par2469"/>
      <w:bookmarkEnd w:id="119"/>
      <w:r>
        <w:rPr>
          <w:rFonts w:ascii="Calibri" w:hAnsi="Calibri" w:cs="Calibri"/>
        </w:rPr>
        <w:t>&lt;31&gt; http://www.smolinvest.com/platform_for_business/grinfilds/.</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20" w:name="Par2470"/>
      <w:bookmarkEnd w:id="120"/>
      <w:r>
        <w:rPr>
          <w:rFonts w:ascii="Calibri" w:hAnsi="Calibri" w:cs="Calibri"/>
        </w:rPr>
        <w:t>&lt;32&gt; http://www.smolinvest.com/platform_for_business/braundf.php.</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важным характеристикам инфраструктуры, особенно для размещения производственных объектов, относятся: размер площадки,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 С этой точки зрения к приоритетным площадкам с высоким потенциалом развития можно отнести следующие: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Индустриальный парк "Смоленский". Планируется создание парка, приоритетными направлениями деятельности которого станут приборостроение, электротехника, машиностроение. Инвестиционная площадка будет предоставлена в собственность инвестора с аукциона Фондом "РЖС". Проведение аукциона запланировано на 2 квартал 2014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Транспортно-логистический производственный комплекс "Стабна" (ТЛПК "Стабна") </w:t>
      </w:r>
      <w:hyperlink w:anchor="Par2476" w:history="1">
        <w:r>
          <w:rPr>
            <w:rFonts w:ascii="Calibri" w:hAnsi="Calibri" w:cs="Calibri"/>
            <w:color w:val="0000FF"/>
          </w:rPr>
          <w:t>&lt;33&gt;</w:t>
        </w:r>
      </w:hyperlink>
      <w:r>
        <w:rPr>
          <w:rFonts w:ascii="Calibri" w:hAnsi="Calibri" w:cs="Calibri"/>
        </w:rPr>
        <w:t>. Основной целью ТЛПК "Стабна" является создание территории с максимально комфортными условиями для развития производственных и складских мощностей. Данный комплекс предназначен для российских, белорусских и европейских компаний, не имеет региональных аналогов и является мощным центром притяжения для многих предпринимателей, заинтересованных в эффективной работе собственных инвестиций. В настоящий момент действуют условия свободной планировки, в рамках которой каждый будущий участник ТЛПК "Стабна" может получить требуемое ему количество земли для строительства производственного комплекса.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21" w:name="Par2476"/>
      <w:bookmarkEnd w:id="121"/>
      <w:r>
        <w:rPr>
          <w:rFonts w:ascii="Calibri" w:hAnsi="Calibri" w:cs="Calibri"/>
        </w:rPr>
        <w:t>&lt;33&gt; http://www.stabna.ru/.</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Промышленная зона "Рославльская". На юге области, в городе Рославле, в зоне влияния транспортного коридора Север-Юг, сформирована крупная инвестиционная площадка для создания промышленных производств. Ее преимуществом являются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Инвестиционная площадка "Аэродром "Северный". Площадка находится рядом с территорией ОАО "Смоленский авиационный завод" на окраине г. Смоленска.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Транспортно-логистический центр "Западные ворота России". Располагается около Стабенского сельского поселения с правой стороны от автодороги М-1 "Беларусь".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Частный индустриальный парк "Ресурс" на базе производственного предприятия ОАО ВНПО "Ресурс". Индустриальный парк позволит привлечь промышленные предприятия малого и среднего бизнеса на территорию предприятия ОАО ВНПО "Ресурс". Однако объемы газоснабжения, водоснабжения и водоотведения покрывают только текущие потребности и для дальнейшего привлечения инвесторов они должны быть серьезно увеличены.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Индустриальный парк "Сафоново". Инициатором парка является ОАО "Авангард" - ведущее предприятие России по производству крупногабаритных изделий из композиционных материалов. Индустриальный парк ориентирован на реализацию резидентами инвестиционных проектов в области производства изделий гражданского композитостроения на базе новых инновационных материалов и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этого с точки зрения близости к федеральным трассам и возможности подведения требуемых инженерных коммуникаций к приоритетным инвестиционным площадкам также можно отнести следующие: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Инвестиционная площадка "Тишино".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Инвестиционная площадка "Рудня".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настоящий момент важным сдерживающим фактором развития инфраструктуры инвестиционных площадок является наличие свободных электрических мощностей. Наибольшее количество действующих промышленных производств разместилось в Ярцевском и Гагаринском районах Смоленской области. Эти же районы являются наиболее перспективными в плане привлечения инвестиций, но в этих районах наиболее остро встает вопрос свободных электрических мощностей.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Например, в Гагаринском районе ООО "ЭГГЕР ДРЕВПРОДУКТ ГАГАРИН" выбрал все существующие мощности по подключению к электричеству и заинтересован в получении всех возникающих дополнительных мощностей. При этом Смоленская энергосистема является избыточной в части производства электроэнергии. Обладая резервом мощности, энергетический комплекс имеет возможность поставлять излишки электрической энергии на оптовый рынок. Ежегодно смоленская энергосистема производит свыше 20 млрд. кВт.ч электроэнергии. До 80 процентов вырабатываемой электроэнергии поставляется за пределы Смоленской области. Восточные районы Смоленской области, являющиеся наиболее перспективными регионами в плане привлечения инвестиций, не могут воспользоваться избытком смоленской энергосистемы по причине загруженности электросетевого оборудования на границе с Московской областью. Существующие сети 110 кВ работают на пределе своих возможностей. Анализ заявок на технологическое присоединение показывает, что ожидаемое увеличение суммарной потребляемой мощности в восточных районах Смоленской области в краткосрочной перспективе составит около 60 МВА. Снизит негативное влияние данных факторов на инвестиционную привлекательность области ввод ВЛ 220 кВ Восток - Дровнино, предусмотренный в проекте схемы и программы развития Единой энергетической системы России на 2014 - 2020 годы в 2015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важным фактором для размещения производственных объектов является размер площадки (например, не менее 30 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вышеозначенных ограничений проведены инвентаризация и оценка доступной инфраструктуры для размещения производственных и иных объектов инвесторов. По полученным результатам можно сказать, что: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Подавляющее большинство (12 из 14) рассмотренных инвестиционных площадок (гринфилд) с категорией земель промышленности/населенных пунктов/запаса, находящихся не в частной собственности, обладают хорошими возможностями в среднесрочной перспективе привлечь не только представителей малого и среднего бизнеса, но и крупного (5 площадок более 100 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инвестиционных площадок (гринфилд) с категорией земель сельскохозяйственного назначения/лесного фонда, находящихся не в частной собственности, хорошими возможностями в среднесрочной перспективе обладает почти треть (9 из 30). Три инвестиционные площадки размером более 100 га могут привлечь представителей крупного бизнеса. Остальные участки будут интересны в долгосрочной перспективе по факту создания либо инженерных коммуникаций, либо подъездных путей.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Большинство рассмотренных площадок (19 из 23), находящихся в частной собственности, обладают хорошими возможностями в среднесрочной перспективе привлечь не только представителей малого и среднего бизнеса, но и крупного (9 площадок более 100 га). Четыре площадки будут интересны в долгосрочной перспективе по факту создания либо инженерных коммуникаций, либо подъездных путей.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каждой инвестиционной площадки может потребоваться проработка возможности включения необходимых объектов электроснабжения в инвестиционные программы филиала ОАО "МРСК Центра" - "Смоленскэнерго", ОАО "ФСК ЕЭС", а также уточнение наличия свободных электрических мощностей. Для газоснабжения необходимо уточнение наличия ГРП. В случае использования скважин на площадке для обеспечения водоснабжения необходимо проработать вопрос создания санитарно-защитной зоны.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Подробные </w:t>
      </w:r>
      <w:hyperlink w:anchor="Par9548" w:history="1">
        <w:r>
          <w:rPr>
            <w:rFonts w:ascii="Calibri" w:hAnsi="Calibri" w:cs="Calibri"/>
            <w:color w:val="0000FF"/>
          </w:rPr>
          <w:t>результаты</w:t>
        </w:r>
      </w:hyperlink>
      <w:r>
        <w:rPr>
          <w:rFonts w:ascii="Calibri" w:hAnsi="Calibri" w:cs="Calibri"/>
        </w:rPr>
        <w:t xml:space="preserve"> инвентаризации и оценки эффективности деятельности доступной инфраструктуры для размещения объектов инвесторов приведены в приложении 9 к настоящему документу.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22" w:name="Par2496"/>
      <w:bookmarkEnd w:id="122"/>
      <w:r>
        <w:rPr>
          <w:rFonts w:ascii="Calibri" w:hAnsi="Calibri" w:cs="Calibri"/>
        </w:rPr>
        <w:t>7.7. СОЗДАНИЕ ЭЛЕМЕНТОВ ПРОМЫШЛЕННОЙ ИНФРАСТРУКТУРЫ</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активизации предпринимательства в Смоленской области, в том числе инновационного, необходимо создать большинство элементов инновационной инфраструктуры (развитие которых предусмотрено в Приказе по поддержке малого и среднего бизнеса Минэкономразвития РФ). Особые экономические зоны, зоны территориального развития, индустриальные парки, инжиниринговые центры, центры прототипирования, центры кластерного развития позволят эффективно развивать как производство в общем, так и зарождающиеся кластеры в частности.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стихийное развитие всех возможных форм и институтов поддержи и привлечения инвесторов может привести к неэффективному расходованию ресурсов региона (человеческих, финансовых и временных). Как минимум в среднесрочной перспективе предлагается сосредоточиться на создании тех элементов повышения предпринимательской активности, которые находятся в высокой степени готовности, и, в первую очередь, это касается кластеров во главе с центром кластерного развития. Его мы предлагаем создать в первую очередь. Затем ЦКР должен активно заняться созданием и развитием кластеров. Из тех кластеров, которые мы выделили на основании нашего изучения, мы предлагаем начать с одного чисто производственного кластера, например Композитного кластера (включая производство продукции химической и нефтехимической промышленности), одного - Производственно-логистического и Туристического. Эти три кластера могут стартовать ранее других отмеченных в разделе 7. Остальные предлагается развивать позднее.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других институтов инновационного развития в регионе мы предлагаем начать с создания частного индустриального парка, и подготовить документы для получения поддержки на конкурсе Минэкономразвития РФ.</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запуска первого парка и привлечения достаточного количества резидентов, получив первый опыт создания парка целесообразно дополнить линейку институтов (при условии решения вопроса софинансирования со стороны региона) еще одним индустриальным парком (государственным, создаваемым с нуля).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этого для стимулирования технического перевооружения резидентов парков целесообразно создать, во-первых, Центр инжиниринга при индустриальном парке. И как продолжение заявленной задачи стимулирования инноваций в регионе, на следующий год создать Центр прототипирования и Центр исследований и сертификации. Эти центры должны органично войти в систему созданных к тому моменту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123" w:name="Par2505"/>
      <w:bookmarkEnd w:id="123"/>
      <w:r>
        <w:rPr>
          <w:rFonts w:ascii="Calibri" w:hAnsi="Calibri" w:cs="Calibri"/>
        </w:rPr>
        <w:t>8. ЦЕЛИ, ЗАДАЧИ, ПОКАЗАТЕЛИ УСПЕШНОСТИ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24" w:name="Par2507"/>
      <w:bookmarkEnd w:id="124"/>
      <w:r>
        <w:rPr>
          <w:rFonts w:ascii="Calibri" w:hAnsi="Calibri" w:cs="Calibri"/>
        </w:rPr>
        <w:t>8.1. СТРУКТУРА ЦЕЛЕЙ, НА ДОСТИЖЕНИЕ КОТОРЫХ НАПРАВЛЕНА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ИНВЕСТИЦИОННАЯ СТРАТЕГИЯ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Основной целью Инвестиционной стратегии (целью первого уровня) является улучшение инвестиционного климата в Смоленской области. Интегральные целевые показатели, характеризующие эффективность реализации Инвестиционной стратегии в период до 2025 г., представлены в </w:t>
      </w:r>
      <w:hyperlink w:anchor="Par2514" w:history="1">
        <w:r>
          <w:rPr>
            <w:rFonts w:ascii="Calibri" w:hAnsi="Calibri" w:cs="Calibri"/>
            <w:color w:val="0000FF"/>
          </w:rPr>
          <w:t>таблице 15</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25" w:name="Par2512"/>
      <w:bookmarkEnd w:id="125"/>
      <w:r>
        <w:rPr>
          <w:rFonts w:ascii="Calibri" w:hAnsi="Calibri" w:cs="Calibri"/>
        </w:rPr>
        <w:t>Таблица 15</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26" w:name="Par2514"/>
      <w:bookmarkEnd w:id="126"/>
      <w:r>
        <w:rPr>
          <w:rFonts w:ascii="Calibri" w:hAnsi="Calibri" w:cs="Calibri"/>
        </w:rPr>
        <w:t>Интегральные целевые показатели эффективности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реализации Инвестиционной стратегии (начало)</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474"/>
        <w:gridCol w:w="1984"/>
        <w:gridCol w:w="3118"/>
        <w:gridCol w:w="1531"/>
        <w:gridCol w:w="1020"/>
        <w:gridCol w:w="1020"/>
        <w:gridCol w:w="1020"/>
        <w:gridCol w:w="1020"/>
        <w:gridCol w:w="1020"/>
        <w:gridCol w:w="1020"/>
      </w:tblGrid>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 целевых индикаторов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Целевые показатели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2019</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Улучшение инвестиционного климата Смоленской области</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 (с учетом индекса роста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51607,77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51065,92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51752,17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53022,16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55378,2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57726,5</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объема инвестиций в основной капитал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-0,40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 (с учетом индекса роста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51607,77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51713,08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53344,34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55156,95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57915,21</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60653,14</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объема инвестиций в основной капитал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балл</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27" w:name="Par2574"/>
      <w:bookmarkEnd w:id="127"/>
      <w:r>
        <w:rPr>
          <w:rFonts w:ascii="Calibri" w:hAnsi="Calibri" w:cs="Calibri"/>
        </w:rPr>
        <w:t>Таблица 15</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Интегральные целевые показатели эффективности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реализации Инвестиционной стратегии (окончание)</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474"/>
        <w:gridCol w:w="1984"/>
        <w:gridCol w:w="3061"/>
        <w:gridCol w:w="1531"/>
        <w:gridCol w:w="1020"/>
        <w:gridCol w:w="1020"/>
        <w:gridCol w:w="1020"/>
        <w:gridCol w:w="1020"/>
        <w:gridCol w:w="1020"/>
        <w:gridCol w:w="1020"/>
      </w:tblGrid>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 целевых индикаторов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Целевые показатели</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2021</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2023</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2025</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Улучшение инвестиционного климата Смоленской области</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 (с учетом индекса роста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60408,8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63277,0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67309,0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70914,7</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74713,6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79171,1</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объема инвестиций в основной капитал по Консервативному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 (с учетом индекса роста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млн. руб.</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63913,40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67563,44</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72107,35</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76444,78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80888,02</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86246,00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темп роста объема инвестиций в основной капитал по Умеренно-оптимистичному сценарию развития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4,50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балл</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достижения основной цели (цели первого уровня) выделены цели второго уровня, выполнение которых будет являться фундаментом достижения основной цели: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создание положительного инвестиционного бренда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снижение административных барьеров для осуществления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необходимой для осуществления инвестиционных проектов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улучшение состояния рынка труда, развитие системы подготовки и переподготовки высококвалифицированных кадров;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развитие среднего и малого предпринимательства.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Система целевых показателей эффективности достижения целей второго уровня представлена в </w:t>
      </w:r>
      <w:hyperlink w:anchor="Par2646" w:history="1">
        <w:r>
          <w:rPr>
            <w:rFonts w:ascii="Calibri" w:hAnsi="Calibri" w:cs="Calibri"/>
            <w:color w:val="0000FF"/>
          </w:rPr>
          <w:t>таблице 16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28" w:name="Par2644"/>
      <w:bookmarkEnd w:id="128"/>
      <w:r>
        <w:rPr>
          <w:rFonts w:ascii="Calibri" w:hAnsi="Calibri" w:cs="Calibri"/>
        </w:rPr>
        <w:t>Таблица 16</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29" w:name="Par2646"/>
      <w:bookmarkEnd w:id="129"/>
      <w:r>
        <w:rPr>
          <w:rFonts w:ascii="Calibri" w:hAnsi="Calibri" w:cs="Calibri"/>
        </w:rPr>
        <w:t>Система целевых показателей эффективности достижения целей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второго уровня (начало)</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474"/>
        <w:gridCol w:w="3005"/>
        <w:gridCol w:w="3005"/>
        <w:gridCol w:w="3515"/>
        <w:gridCol w:w="1644"/>
        <w:gridCol w:w="1701"/>
        <w:gridCol w:w="1191"/>
        <w:gridCol w:w="1701"/>
        <w:gridCol w:w="1191"/>
        <w:gridCol w:w="1701"/>
        <w:gridCol w:w="1191"/>
      </w:tblGrid>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 целевых индикаторов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Задачи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Целевые показатели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2019</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положительного инвестиционного бренда региона</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активная презентация Смоленской области как региона с благоприятным инвестиционным климатом</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упоминаний региона в средствах массовой информации (ведущие издания)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 в год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15</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выставках, форумах, конференциях посвященных, инвестиционной деятельности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 в год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11</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посещаемости инвестиционного портала Смоленской области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посещений инвестиционного портала Смоленской области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 в месяц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14000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14100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14200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14300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14400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14500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Снижение административных барьеров для осуществления инвестиционных проектов</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внедрение основных составляющих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срок ответа на запрос по каналу "прямой связи" инвесторов с руководителем региона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дней с момента обращения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эффективности реализации внедренных составляющих стандарта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балл</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упрощение процедур получения разрешения на строительство эталонного объекта капитального строительства непроизводственного назначения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единиц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дней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56</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доступности энергетической инфраструктуры</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предельное количество этапов (процедур), необходимых для технологического присоединения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единиц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предельный срок подключения потребителей (до 150 кВт) с момента поступления заявки на технологическое присоединение до даты подписания акта о технологическом присоединении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дней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стоимость услуг по технологическому присоединению к объектам электросетевого хозяйства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необходимой для осуществления инвестиционных проектов инфраструктуры</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качества и доступности производственной и транспортной инфраструктуры</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2011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коэффициент обновления основных фондов</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4,67</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5,63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единица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изменение площади парков и зон развития (ОЭЗ, ЗТР, индустриальные, агропромышленные, технопарки и т.д.)</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5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5 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5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5 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5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2 тыс. кв. м</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и модернизация высокопроизводительных рабочих мест</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высокопроизводительных рабочих мест</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организаций, осуществляющих технологические инновации, в общем количестве обследованных организаций</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9,20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23,30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Улучшение состояния рынка труда, развитие системы подготовки и переподготовки высококвалифицированных кадров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снижение уровня безработицы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общая численность безработных</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экономически активному населению</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численности высококвалифицированных работников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численности высококвалифицированных работников в общей численности квалифицированных работников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28,70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33,40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уровня квалификации специалистов органов власти, взаимодействующих с инвесторами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специалистов органов власти, взаимодействующих с инвесторами, участвовавших в мероприятиях по повышению уровня квалификации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25%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35%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45%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среднего и малого предпринимательства</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количества субъектов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оборота продукции и услуг, производимых малыми предприятиями, в том числе микропредприятиями и индивидуальными предпринимателями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 (в сопоставимых ценах)</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эффективности реализации программы поддержки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эффективности реализации программы поддержки малого и среднего предпринимательства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балл</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30" w:name="Par2894"/>
      <w:bookmarkEnd w:id="130"/>
      <w:r>
        <w:rPr>
          <w:rFonts w:ascii="Calibri" w:hAnsi="Calibri" w:cs="Calibri"/>
        </w:rPr>
        <w:t>Таблица 16</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Система целевых показателей эффективности достижения целей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второго уровня (окончание)</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474"/>
        <w:gridCol w:w="3005"/>
        <w:gridCol w:w="3005"/>
        <w:gridCol w:w="3515"/>
        <w:gridCol w:w="1644"/>
        <w:gridCol w:w="1701"/>
        <w:gridCol w:w="1191"/>
        <w:gridCol w:w="1701"/>
        <w:gridCol w:w="1191"/>
        <w:gridCol w:w="1701"/>
        <w:gridCol w:w="1191"/>
      </w:tblGrid>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 целевых индикаторов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Задачи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Целевые показатели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2025</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положительного инвестиционного бренда региона</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активная презентация Смоленской области как региона с благоприятным инвестиционным климатом</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упоминаний региона в средствах массовой информации (ведущие издания)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 в год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21</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выставках, форумах, конференциях, посвященных инвестиционной деятельности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 в год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17</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посещаемости инвестиционного портала Смоленской области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посещений инвестиционного портала Смоленской области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 в месяц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1600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1700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1900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2000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2100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Снижение административных барьеров для осуществления инвестиционных проектов</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внедрение основных составляющих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срок ответа на запрос по каналу "прямой связи" инвесторов с руководителем региона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дней с момента обращения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эффективности реализации внедренных составляющих стандарта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балл</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упрощение процедур получения разрешения на строительство эталонного объекта капитального строительства непроизводственного назначения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единиц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дней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доступности энергетической инфраструктуры</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предельное количество этапов (процедур), необходимых для технологического присоединения</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единиц</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предельный срок подключения потребителей (до 150 кВт) с момента поступления заявки на технологическое присоединение до даты подписания акта о технологическом присоединении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дней</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стоимость услуг по технологическому присоединению к объектам электросетевого хозяйства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выше уровня инфляции</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необходимой для осуществления инвестиционных проектов инфраструктуры</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качества и доступности производственной и транспортной инфраструктуры</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2011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0,50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коэффициент обновления основных фондов</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9,8</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единица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ввод дополнительно 1 объекта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изменение площади парков и зон развития (ОЭЗ, ЗТР, индустриальные, агропромышленные, технопарки и т.д.)</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2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2 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2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2 тыс. кв. 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2 тыс. кв. м</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 на величину не менее 2 тыс. кв. м</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и модернизация высокопроизводительных рабочих мест</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высокопроизводительных рабочих мест</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организаций, осуществляющих технологические инновации, в общем количестве обследованных организаций</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24,20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26,90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27,80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28,70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Улучшение состояния рынка труда, развитие системы подготовки и переподготовки высококвалифицированных кадров</w:t>
            </w: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снижение уровня безработицы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общая численность безработных</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экономически активному населению</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численности высококвалифицированных работников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численности высококвалифицированных работников в общей численности квалифицированных работников в регионе</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37,40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38,40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39,40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уровня квалификации специалистов органов власти, взаимодействующих с инвесторами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специалистов органов власти, взаимодействующих с инвесторами, участвовавших в мероприятиях по повышению уровня квалификации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среднего и малого предпринимательства</w:t>
            </w:r>
          </w:p>
        </w:tc>
        <w:tc>
          <w:tcPr>
            <w:tcW w:w="30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количества субъектов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оборота продукции и услуг, производимых малыми предприятиями, в том числе микропредприятиями и индивидуальными предпринимателями</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 предыдущему году (в сопоставимых ценах)</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7,30</w:t>
            </w:r>
          </w:p>
        </w:tc>
      </w:tr>
      <w:tr w:rsidR="00703D06">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30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0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повышение эффективности реализации программы поддержки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эффективности реализации программы поддержки малого и среднего предпринимательства</w:t>
            </w:r>
          </w:p>
        </w:tc>
        <w:tc>
          <w:tcPr>
            <w:tcW w:w="16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балл</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8,00</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31" w:name="Par3144"/>
      <w:bookmarkEnd w:id="131"/>
      <w:r>
        <w:rPr>
          <w:rFonts w:ascii="Calibri" w:hAnsi="Calibri" w:cs="Calibri"/>
        </w:rPr>
        <w:t>8.2. ПРАВИЛА РАСЧЕТА ЦЕЛЕВЫХ ПОКАЗАТЕЛЕЙ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Правила расчета целевых показателей и органы исполнительной власти, ответственные за предоставление информации, приведены в </w:t>
      </w:r>
      <w:hyperlink w:anchor="Par3150" w:history="1">
        <w:r>
          <w:rPr>
            <w:rFonts w:ascii="Calibri" w:hAnsi="Calibri" w:cs="Calibri"/>
            <w:color w:val="0000FF"/>
          </w:rPr>
          <w:t>таблице 17</w:t>
        </w:r>
      </w:hyperlink>
      <w:r>
        <w:rPr>
          <w:rFonts w:ascii="Calibri" w:hAnsi="Calibri" w:cs="Calibri"/>
        </w:rPr>
        <w:t>. Контроль над своевременным получением информации закрепляется за Департаментом экономического развития Смоленской области, как органом, отвечающим за развитие инвестиционного процесса в регионе.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32" w:name="Par3148"/>
      <w:bookmarkEnd w:id="132"/>
      <w:r>
        <w:rPr>
          <w:rFonts w:ascii="Calibri" w:hAnsi="Calibri" w:cs="Calibri"/>
        </w:rPr>
        <w:t>Таблица 17</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33" w:name="Par3150"/>
      <w:bookmarkEnd w:id="133"/>
      <w:r>
        <w:rPr>
          <w:rFonts w:ascii="Calibri" w:hAnsi="Calibri" w:cs="Calibri"/>
        </w:rPr>
        <w:t>Правила расчета целевых показателей и органы исполнительной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власти, ответственные за предоставление информации</w:t>
      </w:r>
    </w:p>
    <w:p w:rsidR="00703D06" w:rsidRDefault="00703D06">
      <w:pPr>
        <w:widowControl w:val="0"/>
        <w:autoSpaceDE w:val="0"/>
        <w:autoSpaceDN w:val="0"/>
        <w:adjustRightInd w:val="0"/>
        <w:spacing w:after="0" w:line="240" w:lineRule="auto"/>
        <w:jc w:val="center"/>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515"/>
        <w:gridCol w:w="3515"/>
        <w:gridCol w:w="2835"/>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Целевые показатели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Правила расчета (источник информации)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Орган исполнительной власти, ответственный за предоставление информации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является информация, представленная респондентами на формах федерального статистического наблюдения: по крупным и средним организациям - </w:t>
            </w:r>
            <w:hyperlink r:id="rId25" w:history="1">
              <w:r>
                <w:rPr>
                  <w:rFonts w:ascii="Calibri" w:hAnsi="Calibri" w:cs="Calibri"/>
                  <w:color w:val="0000FF"/>
                </w:rPr>
                <w:t>N П-2</w:t>
              </w:r>
            </w:hyperlink>
            <w:r>
              <w:rPr>
                <w:rFonts w:ascii="Calibri" w:hAnsi="Calibri" w:cs="Calibri"/>
              </w:rPr>
              <w:t xml:space="preserve"> "Сведения об инвестициях в нефинансовые активы", </w:t>
            </w:r>
            <w:hyperlink r:id="rId26" w:history="1">
              <w:r>
                <w:rPr>
                  <w:rFonts w:ascii="Calibri" w:hAnsi="Calibri" w:cs="Calibri"/>
                  <w:color w:val="0000FF"/>
                </w:rPr>
                <w:t>N П-2 (инвест)</w:t>
              </w:r>
            </w:hyperlink>
            <w:r>
              <w:rPr>
                <w:rFonts w:ascii="Calibri" w:hAnsi="Calibri" w:cs="Calibri"/>
              </w:rPr>
              <w:t xml:space="preserve"> "Сведения об инвестиционной деятельности", по малым предприятиям - </w:t>
            </w:r>
            <w:hyperlink r:id="rId27" w:history="1">
              <w:r>
                <w:rPr>
                  <w:rFonts w:ascii="Calibri" w:hAnsi="Calibri" w:cs="Calibri"/>
                  <w:color w:val="0000FF"/>
                </w:rPr>
                <w:t>N ПМ</w:t>
              </w:r>
            </w:hyperlink>
            <w:r>
              <w:rPr>
                <w:rFonts w:ascii="Calibri" w:hAnsi="Calibri" w:cs="Calibri"/>
              </w:rPr>
              <w:t xml:space="preserve"> "Сведения об основных показателях деятельности малого предприятия", по микропредприятиям - </w:t>
            </w:r>
            <w:hyperlink r:id="rId28" w:history="1">
              <w:r>
                <w:rPr>
                  <w:rFonts w:ascii="Calibri" w:hAnsi="Calibri" w:cs="Calibri"/>
                  <w:color w:val="0000FF"/>
                </w:rPr>
                <w:t>N МП (микро)</w:t>
              </w:r>
            </w:hyperlink>
            <w:r>
              <w:rPr>
                <w:rFonts w:ascii="Calibri" w:hAnsi="Calibri" w:cs="Calibri"/>
              </w:rPr>
              <w:t xml:space="preserve"> "Сведения об основных показателях деятельности микропредприятия".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По малым и микропредприятиям итоги по инвестициям в основной капитал за счет бюджетных средств определяются как сумма данных, полученных от респондентов, представивших отчеты по </w:t>
            </w:r>
            <w:hyperlink r:id="rId29" w:history="1">
              <w:r>
                <w:rPr>
                  <w:rFonts w:ascii="Calibri" w:hAnsi="Calibri" w:cs="Calibri"/>
                  <w:color w:val="0000FF"/>
                </w:rPr>
                <w:t>формам N ПМ</w:t>
              </w:r>
            </w:hyperlink>
            <w:r>
              <w:rPr>
                <w:rFonts w:ascii="Calibri" w:hAnsi="Calibri" w:cs="Calibri"/>
              </w:rPr>
              <w:t xml:space="preserve"> и </w:t>
            </w:r>
            <w:hyperlink r:id="rId30" w:history="1">
              <w:r>
                <w:rPr>
                  <w:rFonts w:ascii="Calibri" w:hAnsi="Calibri" w:cs="Calibri"/>
                  <w:color w:val="0000FF"/>
                </w:rPr>
                <w:t>N МП (микро)</w:t>
              </w:r>
            </w:hyperlink>
            <w:r>
              <w:rPr>
                <w:rFonts w:ascii="Calibri" w:hAnsi="Calibri" w:cs="Calibri"/>
              </w:rPr>
              <w:t xml:space="preserve"> без распространения на генеральную совокупность объектов статистического наблюдения.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Расчет осуществляется в соответствии с </w:t>
            </w:r>
            <w:hyperlink r:id="rId31" w:history="1">
              <w:r>
                <w:rPr>
                  <w:rFonts w:ascii="Calibri" w:hAnsi="Calibri" w:cs="Calibri"/>
                  <w:color w:val="0000FF"/>
                </w:rPr>
                <w:t>приложением 2</w:t>
              </w:r>
            </w:hyperlink>
            <w:r>
              <w:rPr>
                <w:rFonts w:ascii="Calibri" w:hAnsi="Calibri" w:cs="Calibri"/>
              </w:rPr>
              <w:t xml:space="preserve"> Приказа Росстата от 30.01.2014 N 56 "Об утверждении методик расчета показателей "Прирост инвестиций в основной капитал, в процентах к предыдущему году", "Объем инвестиций в основной капитал (за исключением бюджетных средств)", "Доля инвестиций в основной капитал в валовом внутреннем продукте" и "Доля инвестиций в основной капитал в валовом региональном продукте субъекта Российской Федерации"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являются социологические исследования, проведенные в соответствии с </w:t>
            </w:r>
            <w:hyperlink r:id="rId32" w:history="1">
              <w:r>
                <w:rPr>
                  <w:rFonts w:ascii="Calibri" w:hAnsi="Calibri" w:cs="Calibri"/>
                  <w:color w:val="0000FF"/>
                </w:rPr>
                <w:t>Методикой</w:t>
              </w:r>
            </w:hyperlink>
            <w:r>
              <w:rPr>
                <w:rFonts w:ascii="Calibri" w:hAnsi="Calibri" w:cs="Calibri"/>
              </w:rP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упоминаний региона в средствах массовой информации (ведущие издания)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выставках, форумах, конференциях посвященных инвестиционной деятельности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посещений инвестиционного портала Смоленской области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Смоленской области по информационным технологиям</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источником информации является отчет, предоставляемый Экспертной группой по мониторингу внедрения стандарта в Смоленской области, созданной Приказом АНО "АСИ" от 12.09.2013 N 231-од</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Срок ответа на запрос по каналу "прямой связи" инвесторов с руководителем региона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являются социологические исследования, проведенные в соответствии с </w:t>
            </w:r>
            <w:hyperlink r:id="rId33" w:history="1">
              <w:r>
                <w:rPr>
                  <w:rFonts w:ascii="Calibri" w:hAnsi="Calibri" w:cs="Calibri"/>
                  <w:color w:val="0000FF"/>
                </w:rPr>
                <w:t>Методикой</w:t>
              </w:r>
            </w:hyperlink>
            <w:r>
              <w:rPr>
                <w:rFonts w:ascii="Calibri" w:hAnsi="Calibri" w:cs="Calibri"/>
              </w:rP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эффективности реализации внедренных составляющих стандарта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являются социологические исследования, проведенные в соответствии с </w:t>
            </w:r>
            <w:hyperlink r:id="rId34" w:history="1">
              <w:r>
                <w:rPr>
                  <w:rFonts w:ascii="Calibri" w:hAnsi="Calibri" w:cs="Calibri"/>
                  <w:color w:val="0000FF"/>
                </w:rPr>
                <w:t>Методикой</w:t>
              </w:r>
            </w:hyperlink>
            <w:r>
              <w:rPr>
                <w:rFonts w:ascii="Calibri" w:hAnsi="Calibri" w:cs="Calibri"/>
              </w:rP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является социологическое исследование. Дополнительными источниками информации являются данные Минстроя России, а также данные ежегодного опроса Всемирного банка по теме "Получение разрешений на строительство", публикуемые в докладе "Ведение бизнеса" за период, следующий за отчетным. Расчет осуществляется в соответствии с </w:t>
            </w:r>
            <w:hyperlink r:id="rId35" w:history="1">
              <w:r>
                <w:rPr>
                  <w:rFonts w:ascii="Calibri" w:hAnsi="Calibri" w:cs="Calibri"/>
                  <w:color w:val="0000FF"/>
                </w:rPr>
                <w:t>приложением 1</w:t>
              </w:r>
            </w:hyperlink>
            <w:r>
              <w:rPr>
                <w:rFonts w:ascii="Calibri" w:hAnsi="Calibri" w:cs="Calibri"/>
              </w:rPr>
              <w:t xml:space="preserve"> Приказа Федерального агентства по строительству и жилищно-коммунальному хозяйству от 02.04.2013 N 105/ГС</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Смоленской области по строительству и жилищно-коммунальному хозяйству</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является социологическое исследование. Дополнительными источниками информации являются данные Минстроя России, а также данные ежегодного опроса Всемирного банка по теме "Получение разрешений на строительство", публикуемые в докладе "Ведение бизнеса" за период, следующий за отчетным. Расчет осуществляется в соответствии с </w:t>
            </w:r>
            <w:hyperlink r:id="rId36" w:history="1">
              <w:r>
                <w:rPr>
                  <w:rFonts w:ascii="Calibri" w:hAnsi="Calibri" w:cs="Calibri"/>
                  <w:color w:val="0000FF"/>
                </w:rPr>
                <w:t>приложением 2</w:t>
              </w:r>
            </w:hyperlink>
            <w:r>
              <w:rPr>
                <w:rFonts w:ascii="Calibri" w:hAnsi="Calibri" w:cs="Calibri"/>
              </w:rPr>
              <w:t xml:space="preserve"> Приказа Федерального агентства по строительству и жилищно-коммунальному хозяйству от 02.04.2013 N 105/ГС</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Смоленской области по строительству и жилищно-коммунальному хозяйству</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являются данные Минстроя России в соответствии с </w:t>
            </w:r>
            <w:hyperlink r:id="rId37" w:history="1">
              <w:r>
                <w:rPr>
                  <w:rFonts w:ascii="Calibri" w:hAnsi="Calibri" w:cs="Calibri"/>
                  <w:color w:val="0000FF"/>
                </w:rPr>
                <w:t>п. 35</w:t>
              </w:r>
            </w:hyperlink>
            <w:r>
              <w:rPr>
                <w:rFonts w:ascii="Calibri" w:hAnsi="Calibri" w:cs="Calibri"/>
              </w:rPr>
              <w:t xml:space="preserve"> Методики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Смоленской области по строительству и жилищно-коммунальному хозяйству</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Предельное количество этапов (процедур), необходимых для технологического присоединения</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источниками информации являются социологические исследования и данные Минэнерго России. Расчет осуществляется в соответствии с </w:t>
            </w:r>
            <w:hyperlink r:id="rId38" w:history="1">
              <w:r>
                <w:rPr>
                  <w:rFonts w:ascii="Calibri" w:hAnsi="Calibri" w:cs="Calibri"/>
                  <w:color w:val="0000FF"/>
                </w:rPr>
                <w:t>Методикой</w:t>
              </w:r>
            </w:hyperlink>
            <w:r>
              <w:rPr>
                <w:rFonts w:ascii="Calibri" w:hAnsi="Calibri" w:cs="Calibri"/>
              </w:rPr>
              <w:t xml:space="preserve"> расчета значений показателей, характеризующих предельный срок подключения потребителей (до 150 кВт), предельное количество этапов (процедур), необходимых для технологического присоединения, предельный срок подключения энергопринимающих устройств потребителей (до 150 кВт), предельное количество этапов (процедур), необходимых для технологического присоединения, утвержденной Приказом Минэнерго России от 13.03.2013 N 108</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Смоленской области по энергетике, энергоэффективности, тарифной политике</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Предельный срок подключения потребителей (до 150 кВт) с даты поступления заявки на технологическое присоединение до даты подписания акта о технологическом присоединении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источниками информации являются социологические исследования и данные Минэнерго России. Расчет осуществляется в соответствии с </w:t>
            </w:r>
            <w:hyperlink r:id="rId39" w:history="1">
              <w:r>
                <w:rPr>
                  <w:rFonts w:ascii="Calibri" w:hAnsi="Calibri" w:cs="Calibri"/>
                  <w:color w:val="0000FF"/>
                </w:rPr>
                <w:t>Методикой</w:t>
              </w:r>
            </w:hyperlink>
            <w:r>
              <w:rPr>
                <w:rFonts w:ascii="Calibri" w:hAnsi="Calibri" w:cs="Calibri"/>
              </w:rPr>
              <w:t xml:space="preserve"> расчета значений показателей, характеризующих предельный срок подключения потребителей (до 150 кВт), предельное количество этапов (процедур), необходимых для технологического присоединения, предельный срок подключения энергопринимающих устройств потребителей (до 150 кВт), предельное количество этапов (процедур), необходимых для технологического присоединения, утвержденной Приказом Минэнерго России от 13.03.2013 N 108</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Смоленской области по энергетике, энергоэффективности, тарифной политике</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Стоимость услуг по технологическому присоединению к объектам электросетевого хозяйства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для расчета является </w:t>
            </w:r>
            <w:hyperlink r:id="rId40" w:history="1">
              <w:r>
                <w:rPr>
                  <w:rFonts w:ascii="Calibri" w:hAnsi="Calibri" w:cs="Calibri"/>
                  <w:color w:val="0000FF"/>
                </w:rPr>
                <w:t>форма N 23-Н</w:t>
              </w:r>
            </w:hyperlink>
            <w:r>
              <w:rPr>
                <w:rFonts w:ascii="Calibri" w:hAnsi="Calibri" w:cs="Calibri"/>
              </w:rPr>
              <w:t xml:space="preserve"> "Сведения о производстве и распределении электрической энергии". Расчет осуществляется в соответствии с </w:t>
            </w:r>
            <w:hyperlink r:id="rId41" w:history="1">
              <w:r>
                <w:rPr>
                  <w:rFonts w:ascii="Calibri" w:hAnsi="Calibri" w:cs="Calibri"/>
                  <w:color w:val="0000FF"/>
                </w:rPr>
                <w:t>приложением 9</w:t>
              </w:r>
            </w:hyperlink>
            <w:r>
              <w:rPr>
                <w:rFonts w:ascii="Calibri" w:hAnsi="Calibri" w:cs="Calibri"/>
              </w:rP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Смоленской области по энергетике, энергоэффективности, тарифной политике</w:t>
            </w:r>
          </w:p>
        </w:tc>
      </w:tr>
      <w:tr w:rsidR="00703D06">
        <w:tc>
          <w:tcPr>
            <w:tcW w:w="10319"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427D1E">
            <w:pPr>
              <w:widowControl w:val="0"/>
              <w:autoSpaceDE w:val="0"/>
              <w:autoSpaceDN w:val="0"/>
              <w:adjustRightInd w:val="0"/>
              <w:spacing w:after="0" w:line="240" w:lineRule="auto"/>
              <w:ind w:firstLine="540"/>
              <w:jc w:val="both"/>
              <w:rPr>
                <w:rFonts w:ascii="Calibri" w:hAnsi="Calibri" w:cs="Calibri"/>
              </w:rPr>
            </w:pPr>
            <w:hyperlink r:id="rId42" w:history="1">
              <w:r w:rsidR="00703D06">
                <w:rPr>
                  <w:rFonts w:ascii="Calibri" w:hAnsi="Calibri" w:cs="Calibri"/>
                  <w:color w:val="0000FF"/>
                </w:rPr>
                <w:t>Приказ</w:t>
              </w:r>
            </w:hyperlink>
            <w:r w:rsidR="00703D06">
              <w:rPr>
                <w:rFonts w:ascii="Calibri" w:hAnsi="Calibri" w:cs="Calibri"/>
              </w:rPr>
              <w:t xml:space="preserve"> Росавтодора от 20.02.2013 N 29 утратил силу в связи с изданием </w:t>
            </w:r>
            <w:hyperlink r:id="rId43" w:history="1">
              <w:r w:rsidR="00703D06">
                <w:rPr>
                  <w:rFonts w:ascii="Calibri" w:hAnsi="Calibri" w:cs="Calibri"/>
                  <w:color w:val="0000FF"/>
                </w:rPr>
                <w:t>Приказа</w:t>
              </w:r>
            </w:hyperlink>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Росавтодора от 14.05.2014 N 156.</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tc>
      </w:tr>
      <w:tr w:rsidR="00703D06">
        <w:tc>
          <w:tcPr>
            <w:tcW w:w="454"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до 2014 г. источником информации для расчета является </w:t>
            </w:r>
            <w:hyperlink r:id="rId44" w:history="1">
              <w:r>
                <w:rPr>
                  <w:rFonts w:ascii="Calibri" w:hAnsi="Calibri" w:cs="Calibri"/>
                  <w:color w:val="0000FF"/>
                </w:rPr>
                <w:t>форма N 1-ДГ</w:t>
              </w:r>
            </w:hyperlink>
            <w:r>
              <w:rPr>
                <w:rFonts w:ascii="Calibri" w:hAnsi="Calibri" w:cs="Calibri"/>
              </w:rPr>
              <w:t xml:space="preserve"> "Сведения об автомобильных дорогах общего пользования и сооружениях на них федерального, регионального или межмуниципального значения". Начиная с отчетного 2014 года - </w:t>
            </w:r>
            <w:hyperlink r:id="rId45" w:history="1">
              <w:r>
                <w:rPr>
                  <w:rFonts w:ascii="Calibri" w:hAnsi="Calibri" w:cs="Calibri"/>
                  <w:color w:val="0000FF"/>
                </w:rPr>
                <w:t>N 1-ФД</w:t>
              </w:r>
            </w:hyperlink>
            <w:r>
              <w:rPr>
                <w:rFonts w:ascii="Calibri" w:hAnsi="Calibri" w:cs="Calibri"/>
              </w:rPr>
              <w:t xml:space="preserve"> "Сведения об использовании средств Федерального дорожного фонда, дорожных фондов субъектов Российской Федерации, муниципальных дорожных фондов". Расчет осуществляется в соответствии с </w:t>
            </w:r>
            <w:hyperlink r:id="rId46" w:history="1">
              <w:r>
                <w:rPr>
                  <w:rFonts w:ascii="Calibri" w:hAnsi="Calibri" w:cs="Calibri"/>
                  <w:color w:val="0000FF"/>
                </w:rPr>
                <w:t>Методикой</w:t>
              </w:r>
            </w:hyperlink>
            <w:r>
              <w:rPr>
                <w:rFonts w:ascii="Calibri" w:hAnsi="Calibri" w:cs="Calibri"/>
              </w:rPr>
              <w:t xml:space="preserve"> расчета значений показателя "Прирост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(в процентах к 2011 году)"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утвержденной Приказом Росавтодора от 20.02.2013 N 29</w:t>
            </w:r>
          </w:p>
        </w:tc>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Смоленской области по промышленности, транспорту и дорожному хозяйству</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Коэффициент обновления основных фондов</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источниками информации для расчета являются </w:t>
            </w:r>
            <w:hyperlink r:id="rId47" w:history="1">
              <w:r>
                <w:rPr>
                  <w:rFonts w:ascii="Calibri" w:hAnsi="Calibri" w:cs="Calibri"/>
                  <w:color w:val="0000FF"/>
                </w:rPr>
                <w:t>формы N 11</w:t>
              </w:r>
            </w:hyperlink>
            <w:r>
              <w:rPr>
                <w:rFonts w:ascii="Calibri" w:hAnsi="Calibri" w:cs="Calibri"/>
              </w:rPr>
              <w:t xml:space="preserve"> "Сведения о наличии и движении основных фондов (средств) и других нефинансовых активов" и </w:t>
            </w:r>
            <w:hyperlink r:id="rId48" w:history="1">
              <w:r>
                <w:rPr>
                  <w:rFonts w:ascii="Calibri" w:hAnsi="Calibri" w:cs="Calibri"/>
                  <w:color w:val="0000FF"/>
                </w:rPr>
                <w:t>N 11 (краткая)</w:t>
              </w:r>
            </w:hyperlink>
            <w:r>
              <w:rPr>
                <w:rFonts w:ascii="Calibri" w:hAnsi="Calibri" w:cs="Calibri"/>
              </w:rPr>
              <w:t xml:space="preserve"> "Сведения о наличии и движении основных фондов (средств) некоммерческих организаций" по соответствующему субъекту Российской Федерации. Расчет осуществляется в соответствии с </w:t>
            </w:r>
            <w:hyperlink r:id="rId49" w:history="1">
              <w:r>
                <w:rPr>
                  <w:rFonts w:ascii="Calibri" w:hAnsi="Calibri" w:cs="Calibri"/>
                  <w:color w:val="0000FF"/>
                </w:rPr>
                <w:t>приложением 10</w:t>
              </w:r>
            </w:hyperlink>
            <w:r>
              <w:rPr>
                <w:rFonts w:ascii="Calibri" w:hAnsi="Calibri" w:cs="Calibri"/>
              </w:rP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 Департамент Смоленской области по образованию, науке и делам молодежи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Изменение площади парков и зон развития (ОЭЗ, ЗТР, индустриальные, агропромышленные, технопарки и т.д.)</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10319"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427D1E">
            <w:pPr>
              <w:widowControl w:val="0"/>
              <w:autoSpaceDE w:val="0"/>
              <w:autoSpaceDN w:val="0"/>
              <w:adjustRightInd w:val="0"/>
              <w:spacing w:after="0" w:line="240" w:lineRule="auto"/>
              <w:ind w:firstLine="540"/>
              <w:jc w:val="both"/>
              <w:rPr>
                <w:rFonts w:ascii="Calibri" w:hAnsi="Calibri" w:cs="Calibri"/>
              </w:rPr>
            </w:pPr>
            <w:hyperlink r:id="rId50" w:history="1">
              <w:r w:rsidR="00703D06">
                <w:rPr>
                  <w:rFonts w:ascii="Calibri" w:hAnsi="Calibri" w:cs="Calibri"/>
                  <w:color w:val="0000FF"/>
                </w:rPr>
                <w:t>Форма N МП(микро)-сх</w:t>
              </w:r>
            </w:hyperlink>
            <w:r w:rsidR="00703D06">
              <w:rPr>
                <w:rFonts w:ascii="Calibri" w:hAnsi="Calibri" w:cs="Calibri"/>
              </w:rPr>
              <w:t xml:space="preserve"> "Сведения об основных показателях деятельности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микропредприятия, осуществляющего сельскохозяйственную деятельность" утратила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силу с отчета за 2014 год в связи с изданием </w:t>
            </w:r>
            <w:hyperlink r:id="rId51" w:history="1">
              <w:r>
                <w:rPr>
                  <w:rFonts w:ascii="Calibri" w:hAnsi="Calibri" w:cs="Calibri"/>
                  <w:color w:val="0000FF"/>
                </w:rPr>
                <w:t>Приказа</w:t>
              </w:r>
            </w:hyperlink>
            <w:r>
              <w:rPr>
                <w:rFonts w:ascii="Calibri" w:hAnsi="Calibri" w:cs="Calibri"/>
              </w:rPr>
              <w:t xml:space="preserve"> Росстата от 04.09.2014 N 547.</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427D1E">
            <w:pPr>
              <w:widowControl w:val="0"/>
              <w:autoSpaceDE w:val="0"/>
              <w:autoSpaceDN w:val="0"/>
              <w:adjustRightInd w:val="0"/>
              <w:spacing w:after="0" w:line="240" w:lineRule="auto"/>
              <w:ind w:firstLine="540"/>
              <w:jc w:val="both"/>
              <w:rPr>
                <w:rFonts w:ascii="Calibri" w:hAnsi="Calibri" w:cs="Calibri"/>
              </w:rPr>
            </w:pPr>
            <w:hyperlink r:id="rId52" w:history="1">
              <w:r w:rsidR="00703D06">
                <w:rPr>
                  <w:rFonts w:ascii="Calibri" w:hAnsi="Calibri" w:cs="Calibri"/>
                  <w:color w:val="0000FF"/>
                </w:rPr>
                <w:t>Форма N 1-ИП-сх</w:t>
              </w:r>
            </w:hyperlink>
            <w:r w:rsidR="00703D06">
              <w:rPr>
                <w:rFonts w:ascii="Calibri" w:hAnsi="Calibri" w:cs="Calibri"/>
              </w:rPr>
              <w:t xml:space="preserve"> "Сведения о деятельности индивидуального предпринимателя,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осуществляющего сельскохозяйственную деятельность" утратила силу с отчета за 2014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год в связи с изданием </w:t>
            </w:r>
            <w:hyperlink r:id="rId53" w:history="1">
              <w:r>
                <w:rPr>
                  <w:rFonts w:ascii="Calibri" w:hAnsi="Calibri" w:cs="Calibri"/>
                  <w:color w:val="0000FF"/>
                </w:rPr>
                <w:t>Приказа</w:t>
              </w:r>
            </w:hyperlink>
            <w:r>
              <w:rPr>
                <w:rFonts w:ascii="Calibri" w:hAnsi="Calibri" w:cs="Calibri"/>
              </w:rPr>
              <w:t xml:space="preserve"> Росстата от 04.09.2014 N 547.</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tc>
      </w:tr>
      <w:tr w:rsidR="00703D06">
        <w:tc>
          <w:tcPr>
            <w:tcW w:w="454"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высокопроизводительных рабочих мест</w:t>
            </w:r>
          </w:p>
        </w:tc>
        <w:tc>
          <w:tcPr>
            <w:tcW w:w="3515"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источниками информации для расчета являются данные форм федерального статистического наблюдения: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по крупным и средним организациям - форма федерального статистического наблюдения </w:t>
            </w:r>
            <w:hyperlink r:id="rId54" w:history="1">
              <w:r>
                <w:rPr>
                  <w:rFonts w:ascii="Calibri" w:hAnsi="Calibri" w:cs="Calibri"/>
                  <w:color w:val="0000FF"/>
                </w:rPr>
                <w:t>N П-4</w:t>
              </w:r>
            </w:hyperlink>
            <w:r>
              <w:rPr>
                <w:rFonts w:ascii="Calibri" w:hAnsi="Calibri" w:cs="Calibri"/>
              </w:rPr>
              <w:t xml:space="preserve"> "Сведения о численности, заработной плате и движении работников" за отчетный год;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по малым предприятиям - форма федерального статистического наблюдения </w:t>
            </w:r>
            <w:hyperlink r:id="rId55" w:history="1">
              <w:r>
                <w:rPr>
                  <w:rFonts w:ascii="Calibri" w:hAnsi="Calibri" w:cs="Calibri"/>
                  <w:color w:val="0000FF"/>
                </w:rPr>
                <w:t>N ПМ</w:t>
              </w:r>
            </w:hyperlink>
            <w:r>
              <w:rPr>
                <w:rFonts w:ascii="Calibri" w:hAnsi="Calibri" w:cs="Calibri"/>
              </w:rPr>
              <w:t xml:space="preserve"> "Сведения об основных показателях деятельности малого предприятия" за отчетный год;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по микропредприятиям - формы федерального статистического наблюдения </w:t>
            </w:r>
            <w:hyperlink r:id="rId56" w:history="1">
              <w:r>
                <w:rPr>
                  <w:rFonts w:ascii="Calibri" w:hAnsi="Calibri" w:cs="Calibri"/>
                  <w:color w:val="0000FF"/>
                </w:rPr>
                <w:t>N МП(микро)</w:t>
              </w:r>
            </w:hyperlink>
            <w:r>
              <w:rPr>
                <w:rFonts w:ascii="Calibri" w:hAnsi="Calibri" w:cs="Calibri"/>
              </w:rPr>
              <w:t xml:space="preserve"> "Сведения об основных показателях деятельности микропредприятия", </w:t>
            </w:r>
            <w:hyperlink r:id="rId57" w:history="1">
              <w:r>
                <w:rPr>
                  <w:rFonts w:ascii="Calibri" w:hAnsi="Calibri" w:cs="Calibri"/>
                  <w:color w:val="0000FF"/>
                </w:rPr>
                <w:t>N МП (микро)-сх</w:t>
              </w:r>
            </w:hyperlink>
            <w:r>
              <w:rPr>
                <w:rFonts w:ascii="Calibri" w:hAnsi="Calibri" w:cs="Calibri"/>
              </w:rPr>
              <w:t xml:space="preserve"> "Сведения об основных показателях деятельности микропредприятия, осуществляющего сельскохозяйственную деятельность" за отчетный год;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по индивидуальным предпринимателям - формы федерального статистического наблюдения </w:t>
            </w:r>
            <w:hyperlink r:id="rId58" w:history="1">
              <w:r>
                <w:rPr>
                  <w:rFonts w:ascii="Calibri" w:hAnsi="Calibri" w:cs="Calibri"/>
                  <w:color w:val="0000FF"/>
                </w:rPr>
                <w:t>N 1-ИП</w:t>
              </w:r>
            </w:hyperlink>
            <w:r>
              <w:rPr>
                <w:rFonts w:ascii="Calibri" w:hAnsi="Calibri" w:cs="Calibri"/>
              </w:rPr>
              <w:t xml:space="preserve"> "Сведения о деятельности индивидуального предпринимателя", </w:t>
            </w:r>
            <w:hyperlink r:id="rId59" w:history="1">
              <w:r>
                <w:rPr>
                  <w:rFonts w:ascii="Calibri" w:hAnsi="Calibri" w:cs="Calibri"/>
                  <w:color w:val="0000FF"/>
                </w:rPr>
                <w:t>N 1-ИП-сх</w:t>
              </w:r>
            </w:hyperlink>
            <w:r>
              <w:rPr>
                <w:rFonts w:ascii="Calibri" w:hAnsi="Calibri" w:cs="Calibri"/>
              </w:rPr>
              <w:t xml:space="preserve"> "Сведения о деятельности индивидуального предпринимателя, осуществляющего сельскохозяйственную деятельность", </w:t>
            </w:r>
            <w:hyperlink r:id="rId60" w:history="1">
              <w:r>
                <w:rPr>
                  <w:rFonts w:ascii="Calibri" w:hAnsi="Calibri" w:cs="Calibri"/>
                  <w:color w:val="0000FF"/>
                </w:rPr>
                <w:t>N 1-ИП-торговля</w:t>
              </w:r>
            </w:hyperlink>
            <w:r>
              <w:rPr>
                <w:rFonts w:ascii="Calibri" w:hAnsi="Calibri" w:cs="Calibri"/>
              </w:rPr>
              <w:t xml:space="preserve"> "Сведения о деятельности индивидуального предпринимателя в розничной торговле" за год, предшествующий отчетному.</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Расчет производится в соответствии с </w:t>
            </w:r>
            <w:hyperlink r:id="rId61" w:history="1">
              <w:r>
                <w:rPr>
                  <w:rFonts w:ascii="Calibri" w:hAnsi="Calibri" w:cs="Calibri"/>
                  <w:color w:val="0000FF"/>
                </w:rPr>
                <w:t>приложением 1</w:t>
              </w:r>
            </w:hyperlink>
            <w:r>
              <w:rPr>
                <w:rFonts w:ascii="Calibri" w:hAnsi="Calibri" w:cs="Calibri"/>
              </w:rPr>
              <w:t xml:space="preserve"> Приказа Росстата от 14.11.2013 N 449 "Об утверждении методик расчета показателей "Прирост высокопроизводительных рабочих мест, в процентах к предыдущему году", "Доля продукции высокотехнологичных и наукоемких отраслей в валовом внутреннем продукте" и "Доля продукции высокотехнологичных и наукоемких отраслей в валовом региональном продукте субъекта Российской Федерации"</w:t>
            </w:r>
          </w:p>
        </w:tc>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организаций, осуществляющих технологические инновации, в общем количестве обследованных организаций</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является </w:t>
            </w:r>
            <w:hyperlink r:id="rId62" w:history="1">
              <w:r>
                <w:rPr>
                  <w:rFonts w:ascii="Calibri" w:hAnsi="Calibri" w:cs="Calibri"/>
                  <w:color w:val="0000FF"/>
                </w:rPr>
                <w:t>форма N 4-инновация</w:t>
              </w:r>
            </w:hyperlink>
            <w:r>
              <w:rPr>
                <w:rFonts w:ascii="Calibri" w:hAnsi="Calibri" w:cs="Calibri"/>
              </w:rPr>
              <w:t xml:space="preserve"> "Сведения об инновационной деятельности организации" (годовая). Расчет осуществляется в соответствии с </w:t>
            </w:r>
            <w:hyperlink r:id="rId63" w:history="1">
              <w:r>
                <w:rPr>
                  <w:rFonts w:ascii="Calibri" w:hAnsi="Calibri" w:cs="Calibri"/>
                  <w:color w:val="0000FF"/>
                </w:rPr>
                <w:t>приложением 3</w:t>
              </w:r>
            </w:hyperlink>
            <w:r>
              <w:rPr>
                <w:rFonts w:ascii="Calibri" w:hAnsi="Calibri" w:cs="Calibri"/>
              </w:rP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 Департамент Смоленской области по промышленности, транспорту и дорожному хозяйству; Департамент Смоленской области по образованию, науке и делам молодежи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Общая численность безработных</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расчет осуществляется в соответствии с </w:t>
            </w:r>
            <w:hyperlink r:id="rId64" w:history="1">
              <w:r>
                <w:rPr>
                  <w:rFonts w:ascii="Calibri" w:hAnsi="Calibri" w:cs="Calibri"/>
                  <w:color w:val="0000FF"/>
                </w:rPr>
                <w:t>приложением 4</w:t>
              </w:r>
            </w:hyperlink>
            <w:r>
              <w:rPr>
                <w:rFonts w:ascii="Calibri" w:hAnsi="Calibri" w:cs="Calibri"/>
              </w:rP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численности высококвалифицированных работников в общей численности квалифицированных работников в регионе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расчет осуществляется в соответствии с </w:t>
            </w:r>
            <w:hyperlink r:id="rId65" w:history="1">
              <w:r>
                <w:rPr>
                  <w:rFonts w:ascii="Calibri" w:hAnsi="Calibri" w:cs="Calibri"/>
                  <w:color w:val="0000FF"/>
                </w:rPr>
                <w:t>приложением 6</w:t>
              </w:r>
            </w:hyperlink>
            <w:r>
              <w:rPr>
                <w:rFonts w:ascii="Calibri" w:hAnsi="Calibri" w:cs="Calibri"/>
              </w:rP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специалистов органов власти, взаимодействующих с инвесторами, участвовавших в мероприятиях по повышению уровня квалификации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источником информации является отчет, предоставляемый ответственным органом исполнительной власти Смоленской области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источниками информации для расчета являются данные форм федерального статистического наблюдения: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66" w:history="1">
              <w:r>
                <w:rPr>
                  <w:rFonts w:ascii="Calibri" w:hAnsi="Calibri" w:cs="Calibri"/>
                  <w:color w:val="0000FF"/>
                </w:rPr>
                <w:t>форма N ПМ</w:t>
              </w:r>
            </w:hyperlink>
            <w:r>
              <w:rPr>
                <w:rFonts w:ascii="Calibri" w:hAnsi="Calibri" w:cs="Calibri"/>
              </w:rPr>
              <w:t xml:space="preserve"> "Сведения об основных показателях деятельности малого предприятия";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67" w:history="1">
              <w:r>
                <w:rPr>
                  <w:rFonts w:ascii="Calibri" w:hAnsi="Calibri" w:cs="Calibri"/>
                  <w:color w:val="0000FF"/>
                </w:rPr>
                <w:t>форма N МП(микро)</w:t>
              </w:r>
            </w:hyperlink>
            <w:r>
              <w:rPr>
                <w:rFonts w:ascii="Calibri" w:hAnsi="Calibri" w:cs="Calibri"/>
              </w:rPr>
              <w:t xml:space="preserve"> "Сведения об основных показателях деятельности микропредприятия" (кроме осуществляющих сельскохозяйственную деятельность);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68" w:history="1">
              <w:r>
                <w:rPr>
                  <w:rFonts w:ascii="Calibri" w:hAnsi="Calibri" w:cs="Calibri"/>
                  <w:color w:val="0000FF"/>
                </w:rPr>
                <w:t>форма N МП(микро)-сх</w:t>
              </w:r>
            </w:hyperlink>
            <w:r>
              <w:rPr>
                <w:rFonts w:ascii="Calibri" w:hAnsi="Calibri" w:cs="Calibri"/>
              </w:rPr>
              <w:t xml:space="preserve"> "Сведения об основных показателях деятельности микропредприятия, осуществляющего сельскохозяйственную деятельность";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69" w:history="1">
              <w:r>
                <w:rPr>
                  <w:rFonts w:ascii="Calibri" w:hAnsi="Calibri" w:cs="Calibri"/>
                  <w:color w:val="0000FF"/>
                </w:rPr>
                <w:t>форма N 1-ИП</w:t>
              </w:r>
            </w:hyperlink>
            <w:r>
              <w:rPr>
                <w:rFonts w:ascii="Calibri" w:hAnsi="Calibri" w:cs="Calibri"/>
              </w:rPr>
              <w:t xml:space="preserve"> "Сведения о деятельности индивидуального предпринимателя" (кроме осуществляющих сельскохозяйственную деятельность);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70" w:history="1">
              <w:r>
                <w:rPr>
                  <w:rFonts w:ascii="Calibri" w:hAnsi="Calibri" w:cs="Calibri"/>
                  <w:color w:val="0000FF"/>
                </w:rPr>
                <w:t>форма N 1-ИП-сх</w:t>
              </w:r>
            </w:hyperlink>
            <w:r>
              <w:rPr>
                <w:rFonts w:ascii="Calibri" w:hAnsi="Calibri" w:cs="Calibri"/>
              </w:rPr>
              <w:t xml:space="preserve"> "Сведения о деятельности индивидуального предпринимателя, осуществляющего сельскохозяйственную деятельность".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Расчет осуществляется в соответствии с </w:t>
            </w:r>
            <w:hyperlink r:id="rId71" w:history="1">
              <w:r>
                <w:rPr>
                  <w:rFonts w:ascii="Calibri" w:hAnsi="Calibri" w:cs="Calibri"/>
                  <w:color w:val="0000FF"/>
                </w:rPr>
                <w:t>приложением 8</w:t>
              </w:r>
            </w:hyperlink>
            <w:r>
              <w:rPr>
                <w:rFonts w:ascii="Calibri" w:hAnsi="Calibri" w:cs="Calibri"/>
              </w:rP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25</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оборота продукции и услуг, производимых малыми предприятиями, в том числе микропредприятиями и индивидуальными предпринимателями</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источниками информации для расчета являются данные форм федерального статистического наблюдения: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72" w:history="1">
              <w:r>
                <w:rPr>
                  <w:rFonts w:ascii="Calibri" w:hAnsi="Calibri" w:cs="Calibri"/>
                  <w:color w:val="0000FF"/>
                </w:rPr>
                <w:t>форма N ПМ</w:t>
              </w:r>
            </w:hyperlink>
            <w:r>
              <w:rPr>
                <w:rFonts w:ascii="Calibri" w:hAnsi="Calibri" w:cs="Calibri"/>
              </w:rPr>
              <w:t xml:space="preserve"> "Сведения об основных показателях деятельности малого предприятия";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73" w:history="1">
              <w:r>
                <w:rPr>
                  <w:rFonts w:ascii="Calibri" w:hAnsi="Calibri" w:cs="Calibri"/>
                  <w:color w:val="0000FF"/>
                </w:rPr>
                <w:t>форма N МП(микро)</w:t>
              </w:r>
            </w:hyperlink>
            <w:r>
              <w:rPr>
                <w:rFonts w:ascii="Calibri" w:hAnsi="Calibri" w:cs="Calibri"/>
              </w:rPr>
              <w:t xml:space="preserve"> "Сведения об основных показателях деятельности микропредприятия" (кроме осуществляющих сельскохозяйственную деятельность);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74" w:history="1">
              <w:r>
                <w:rPr>
                  <w:rFonts w:ascii="Calibri" w:hAnsi="Calibri" w:cs="Calibri"/>
                  <w:color w:val="0000FF"/>
                </w:rPr>
                <w:t>форма N МП(микро)-сх</w:t>
              </w:r>
            </w:hyperlink>
            <w:r>
              <w:rPr>
                <w:rFonts w:ascii="Calibri" w:hAnsi="Calibri" w:cs="Calibri"/>
              </w:rPr>
              <w:t xml:space="preserve"> "Сведения об основных показателях деятельности микропредприятия, осуществляющего сельскохозяйственную деятельность";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75" w:history="1">
              <w:r>
                <w:rPr>
                  <w:rFonts w:ascii="Calibri" w:hAnsi="Calibri" w:cs="Calibri"/>
                  <w:color w:val="0000FF"/>
                </w:rPr>
                <w:t>форма N 1-ИП</w:t>
              </w:r>
            </w:hyperlink>
            <w:r>
              <w:rPr>
                <w:rFonts w:ascii="Calibri" w:hAnsi="Calibri" w:cs="Calibri"/>
              </w:rPr>
              <w:t xml:space="preserve"> "Сведения о деятельности индивидуального предпринимателя" (кроме осуществляющих сельскохозяйственную деятельность);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w:t>
            </w:r>
            <w:hyperlink r:id="rId76" w:history="1">
              <w:r>
                <w:rPr>
                  <w:rFonts w:ascii="Calibri" w:hAnsi="Calibri" w:cs="Calibri"/>
                  <w:color w:val="0000FF"/>
                </w:rPr>
                <w:t>форма N 1-ИП-сх</w:t>
              </w:r>
            </w:hyperlink>
            <w:r>
              <w:rPr>
                <w:rFonts w:ascii="Calibri" w:hAnsi="Calibri" w:cs="Calibri"/>
              </w:rPr>
              <w:t xml:space="preserve"> "Сведения о деятельности индивидуального предпринимателя, осуществляющего сельскохозяйственную деятельность".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Расчет осуществляется в соответствии с </w:t>
            </w:r>
            <w:hyperlink r:id="rId77" w:history="1">
              <w:r>
                <w:rPr>
                  <w:rFonts w:ascii="Calibri" w:hAnsi="Calibri" w:cs="Calibri"/>
                  <w:color w:val="0000FF"/>
                </w:rPr>
                <w:t>приложением 8</w:t>
              </w:r>
            </w:hyperlink>
            <w:r>
              <w:rPr>
                <w:rFonts w:ascii="Calibri" w:hAnsi="Calibri" w:cs="Calibri"/>
              </w:rPr>
              <w:t xml:space="preserve"> Приказа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26</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эффективности реализации программы поддержки малого и среднего предпринимательства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источником информации являются социологические исследования, проведенные в соответствии с </w:t>
            </w:r>
            <w:hyperlink r:id="rId78" w:history="1">
              <w:r>
                <w:rPr>
                  <w:rFonts w:ascii="Calibri" w:hAnsi="Calibri" w:cs="Calibri"/>
                  <w:color w:val="0000FF"/>
                </w:rPr>
                <w:t>Методикой</w:t>
              </w:r>
            </w:hyperlink>
            <w:r>
              <w:rPr>
                <w:rFonts w:ascii="Calibri" w:hAnsi="Calibri" w:cs="Calibri"/>
              </w:rPr>
              <w:t xml:space="preserve"> определения целевых значений показателей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и проведения сравнительной рейтинговой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утвержденной Распоряжением Правительства РФ от 10.04.2014 N 570-р</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Смоленской области</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Задача определения фактических значений целевых индикаторов на каждый отчетный период возлагается на Департамент экономического развития Смоленской области. Значения показателей утверждаются заместителем Губернатора, курирующим 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134" w:name="Par3299"/>
      <w:bookmarkEnd w:id="134"/>
      <w:r>
        <w:rPr>
          <w:rFonts w:ascii="Calibri" w:hAnsi="Calibri" w:cs="Calibri"/>
        </w:rPr>
        <w:t>9. МОНИТОРИНГ ИНВЕСТИЦИОННОЙ СТРАТЕГИИ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35" w:name="Par3301"/>
      <w:bookmarkEnd w:id="135"/>
      <w:r>
        <w:rPr>
          <w:rFonts w:ascii="Calibri" w:hAnsi="Calibri" w:cs="Calibri"/>
        </w:rPr>
        <w:t>9.1. ГРАФИК ТОЧЕК ПЛАНОВОГО КОНТРОЛЯ ИСПОЛНЕНИЯ СТРАТЕГИИ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исполнения Стратегии осуществляет 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График точек планового контроля исполнения Инвестиционной стратегии приведен в </w:t>
      </w:r>
      <w:hyperlink w:anchor="Par3308" w:history="1">
        <w:r>
          <w:rPr>
            <w:rFonts w:ascii="Calibri" w:hAnsi="Calibri" w:cs="Calibri"/>
            <w:color w:val="0000FF"/>
          </w:rPr>
          <w:t>таблице 18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36" w:name="Par3306"/>
      <w:bookmarkEnd w:id="136"/>
      <w:r>
        <w:rPr>
          <w:rFonts w:ascii="Calibri" w:hAnsi="Calibri" w:cs="Calibri"/>
        </w:rPr>
        <w:t>Таблица 18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37" w:name="Par3308"/>
      <w:bookmarkEnd w:id="137"/>
      <w:r>
        <w:rPr>
          <w:rFonts w:ascii="Calibri" w:hAnsi="Calibri" w:cs="Calibri"/>
        </w:rPr>
        <w:t>График точек планового контроля исполнения Стратегии</w:t>
      </w:r>
    </w:p>
    <w:p w:rsidR="00703D06" w:rsidRDefault="00703D06">
      <w:pPr>
        <w:widowControl w:val="0"/>
        <w:autoSpaceDE w:val="0"/>
        <w:autoSpaceDN w:val="0"/>
        <w:adjustRightInd w:val="0"/>
        <w:spacing w:after="0" w:line="240" w:lineRule="auto"/>
        <w:jc w:val="center"/>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5046"/>
        <w:gridCol w:w="1757"/>
        <w:gridCol w:w="2381"/>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Целевые показатели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Периодичность мониторинга целевого показателя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 мониторинга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в основной капитал</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прямых иностранных инвестиций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общих условий ведения предпринимательской деятельности в Смоленской области, включая улучшение инвестиционного климата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упоминаний региона в средствах массовой информации (ведущие издания)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выставках, форумах, конференциях, посвященных инвестиционной деятельности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посещений инвестиционного портала Смоленской области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реализованных основных положений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Срок ответа на запрос по каналу "прямой связи" инвесторов с руководителем региона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эффективности реализации внедренных составляющих стандарта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значения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муниципальных образований в субъекте Российской Федерации с утвержденными документами территориального планирования и градостроительного зонирования в общем количестве муниципалитетов</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Предельное количество этапов (процедур), необходимых для технологического присоединения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Предельный срок подключения потребителей (до 150 кВт) с момента поступления заявки на технологическое присоединение до даты подписания акта о технологическом присоединении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Стоимость услуг по технологическому присоединению к объектам электросетевого хозяйства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Коэффициент обновления основных фондов</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Увеличение количества объектов инвестиционной и инновационной инфраструктуры (бизнес-инкубаторов, центров кластерного развития, центров коллективного пользования, центров прототипирования и т.д.)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Изменение площади парков и зон развития (ОЭЗ, ЗТР, индустриальные, агропромышленные, технопарки и т.д.)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высокопроизводительных рабочих мест</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организаций, осуществляющих технологические инновации, в общем количестве обследованных организаций</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Общая численность безработных</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Удельный вес численности высококвалифицированных работников в общей численности квалифицированных работников в регионе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Доля специалистов органов власти, взаимодействующих с инвесторами, участвовавших в мероприятиях по повышению уровня квалификации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25</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количества субъектов малого и среднего предпринимательства, осуществляющих деятельность на территории субъекта Российской Федерации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26</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Прирост оборота продукции и услуг, производимых малыми предприятиями, в том числе микропредприятиями и индивидуальными предпринимателями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полгода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реализации Стратегии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27</w:t>
            </w:r>
          </w:p>
        </w:tc>
        <w:tc>
          <w:tcPr>
            <w:tcW w:w="5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Оценка предпринимательским сообществом эффективности реализации программы поддержки малого и среднего предпринимательства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раз в год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ежегодный отчет о ходе реализации Стратегии</w:t>
            </w:r>
          </w:p>
        </w:tc>
      </w:tr>
    </w:tbl>
    <w:p w:rsidR="00703D06" w:rsidRDefault="00703D06">
      <w:pPr>
        <w:widowControl w:val="0"/>
        <w:autoSpaceDE w:val="0"/>
        <w:autoSpaceDN w:val="0"/>
        <w:adjustRightInd w:val="0"/>
        <w:spacing w:after="0" w:line="240" w:lineRule="auto"/>
        <w:jc w:val="center"/>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мониторинга Департамент подготавливает отчетные документы двух видов: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доклад о реализации Стратегии. Доклад предоставляется в форме таблицы, отображающей текущие значения отдельных целевых показателей за отчетные периоды и планируемые значения данных показателей, установленные в целом на текущий год. Доклад размещается в информационно-телекоммуникационной сети Интернет на официальном сайте Администрации Смоленской области и Инвестиционном портале Смоленской области не позднее 15 июля текущего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ежегодный отчет о ходе реализации Стратегии. Ежегодный отчет представляется в форме таблицы, отображающей сведения о фактических значениях целевых показателей за год и их соответствии плановым показателям выполнения Стратегии. К ежегодному отчету подготавливается пояснительная записка, содержащая анализ степени выполнения плановых целевых показателей, причины отклонений и возможные пути решения выявленных проблем. Ежегодный отчет размещается в информационно-телекоммуникационной сети Интернет на официальном сайте Администрации Смоленской области и Инвестиционном портале Смоленской области не позднее 1 марта года, следующего за отчетным годом.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Ответственность за своевременный мониторинг реализации Стратегии несет заместитель Губернатора Смоленской области, курирующий 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ежегодного мониторинга реализации Стратегии принимается решение о необходимости ее корректировки. В случае выявления необходимости корректировки Стратегии Департамент экономического развития Смоленской области подготавливает предложения по внесению изменений в Стратегию.</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38" w:name="Par3429"/>
      <w:bookmarkEnd w:id="138"/>
      <w:r>
        <w:rPr>
          <w:rFonts w:ascii="Calibri" w:hAnsi="Calibri" w:cs="Calibri"/>
        </w:rPr>
        <w:t>9.2. ГРАФИК ПЕРИОДОВ ОБЯЗАТЕЛЬНОГО ПЕРЕСМОТРА СТРАТЕГИИ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Обязательный пересмотр Инвестиционной стратегии Смоленской области осуществляется каждые 3 года с момента утверждения (последнего пересмотра) Стратегии.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необходимости внеплановой корректировки Стратегии принимается в случаях: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отклонения ключевых фактических целевых показателей развития экономики Смоленской области от прогнозируемых более чем на 20%;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изменения основных показателей консервативного сценария прогноза социально-экономического развития Российской Федерации на 2010 - 2030 годы, разработанного Минэкономразвития России от 25.03.2013;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изменения целевых показателей областной государственной </w:t>
      </w:r>
      <w:hyperlink r:id="rId79" w:history="1">
        <w:r>
          <w:rPr>
            <w:rFonts w:ascii="Calibri" w:hAnsi="Calibri" w:cs="Calibri"/>
            <w:color w:val="0000FF"/>
          </w:rPr>
          <w:t>программы</w:t>
        </w:r>
      </w:hyperlink>
      <w:r>
        <w:rPr>
          <w:rFonts w:ascii="Calibri" w:hAnsi="Calibri" w:cs="Calibri"/>
        </w:rPr>
        <w:t xml:space="preserve"> "Экономическое развитие Смоленской области, включая создание благоприятного предпринимательского и инвестиционного климата" на 2014 - 2020 годы, утвержденной постановлением Администрации Смоленской области от 08.11.2013 N 894;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изменения </w:t>
      </w:r>
      <w:hyperlink r:id="rId80" w:history="1">
        <w:r>
          <w:rPr>
            <w:rFonts w:ascii="Calibri" w:hAnsi="Calibri" w:cs="Calibri"/>
            <w:color w:val="0000FF"/>
          </w:rPr>
          <w:t>перечня</w:t>
        </w:r>
      </w:hyperlink>
      <w:r>
        <w:rPr>
          <w:rFonts w:ascii="Calibri" w:hAnsi="Calibri" w:cs="Calibri"/>
        </w:rPr>
        <w:t xml:space="preserve"> направлений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утвержденного Указом Президента Российской Федерации от 10.09.2012 N 1276;</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изменения </w:t>
      </w:r>
      <w:hyperlink r:id="rId81" w:history="1">
        <w:r>
          <w:rPr>
            <w:rFonts w:ascii="Calibri" w:hAnsi="Calibri" w:cs="Calibri"/>
            <w:color w:val="0000FF"/>
          </w:rPr>
          <w:t>перечня</w:t>
        </w:r>
      </w:hyperlink>
      <w:r>
        <w:rPr>
          <w:rFonts w:ascii="Calibri" w:hAnsi="Calibri" w:cs="Calibri"/>
        </w:rPr>
        <w:t xml:space="preserve">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(до 2018 года), утвержденного Распоряжением Правительства Российской Федерации от 10.04.2014 N 570-р;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принятия новых нормативных правовых актов федерального уровня в сфере стратегического и инвестиционного развития Российской Федерации и отдельных субъектов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пересмотре Инвестиционной стратегии Смоленской области осуществляется проверка соответствия Стратегии положениям федеральных и региональных нормативных правовых документов в сфере социально-экономического, стратегического и инвестиционного развития. Кроме того, проверяется сбалансированность поставленных целей по срокам достижения, ресурсам и исполнителям.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Подготовку изменений и дополнений в Стратегию осуществляет Департамент экономического развития Смоленской области на основе поступивших предложений от исполнительных органов государственной власти Смоленской области, органов местного самоуправления муниципальных образований Смоленской области, общественных организаций, предпринимателей Смоленской области и иных представителей бизнес-сообщества.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и дополнения в Стратегию выносятся на публичное обсуждение и утверждаются постановлением Администрации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139" w:name="Par3443"/>
      <w:bookmarkEnd w:id="139"/>
      <w:r>
        <w:rPr>
          <w:rFonts w:ascii="Calibri" w:hAnsi="Calibri" w:cs="Calibri"/>
        </w:rPr>
        <w:t>10. План мероприятий по реализации инвестиционной стратегии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План мероприятий по реализации Инвестиционной стратегии Смоленской области на 2014 - 2025 годы представлен в </w:t>
      </w:r>
      <w:hyperlink w:anchor="Par3454" w:history="1">
        <w:r>
          <w:rPr>
            <w:rFonts w:ascii="Calibri" w:hAnsi="Calibri" w:cs="Calibri"/>
            <w:color w:val="0000FF"/>
          </w:rPr>
          <w:t>таблице 19</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Разработанные программные мероприятия систематизированы по степени их актуальности в решении вопросов развития инвестиционного климата Смоленской области. Список мероприятий и стоимость в каждом конкретном случае детализируются в процессе разработки программных документов, направленных на реализацию Инвестиционной стратегии. Подробный план-график создания промышленной инфраструктуры в Смоленской области приведен в таблице 14.1.</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Принимая во внимание, что мероприятия, предусмотренные планом, относятся к компетенции органов власти регионального уровня, средства бюджетов муниципальных органов власти на реализацию мероприятий в расчет не включались.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бюджетных ассигнований Смоленской области в графе "всего" приведен на весь период реализации Инвестиционной стратегии с 2014 до 2025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мероприятий определена укрупненно на основании оценок экспертов, маркетинговых исследований рынка консалтинговых услуг для органов государственной власти субъектов РФ, прейскурантов ведущих средств массовой информации на размещение рекламных статей и открытых источников информации с учетом уровня цен на начало 2014 г. с учетом налога на добавленную стоимость. Конкретные объемы капитальных вложений, необходимые для строительства инвестиционной инфраструктуры должны быть определены после подготовки программ развития научной/инновационной инфраструктуры, новых промышленных зон, особых экономических зон. При этом важно учесть возможность привлечения внебюджетных средств (создание частных индустриальных парков, реализация ГЧП проектов и т.д.) и участия в федеральных программах поддержки развития малого и среднего бизнеса, моногородов, инновационного развития и т.д.</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140" w:name="Par3452"/>
      <w:bookmarkEnd w:id="140"/>
      <w:r>
        <w:rPr>
          <w:rFonts w:ascii="Calibri" w:hAnsi="Calibri" w:cs="Calibri"/>
        </w:rPr>
        <w:t>Таблица 19</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41" w:name="Par3454"/>
      <w:bookmarkEnd w:id="141"/>
      <w:r>
        <w:rPr>
          <w:rFonts w:ascii="Calibri" w:hAnsi="Calibri" w:cs="Calibri"/>
        </w:rPr>
        <w:t>План мероприятий по реализации Инвестиционной стратегии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 на 2014 - 2025 годы</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510"/>
        <w:gridCol w:w="2948"/>
        <w:gridCol w:w="3458"/>
        <w:gridCol w:w="850"/>
        <w:gridCol w:w="964"/>
        <w:gridCol w:w="1757"/>
        <w:gridCol w:w="1757"/>
        <w:gridCol w:w="2494"/>
        <w:gridCol w:w="1474"/>
        <w:gridCol w:w="3402"/>
        <w:gridCol w:w="3458"/>
        <w:gridCol w:w="1474"/>
      </w:tblGrid>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Мероприятие</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Содержание</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Всего, тыс. руб.</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Бюджет области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Федеральный бюджет</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Внебюджетн.</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 исп-тель</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Ресурсы</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Детализация</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План-график</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3"/>
              <w:rPr>
                <w:rFonts w:ascii="Calibri" w:hAnsi="Calibri" w:cs="Calibri"/>
              </w:rPr>
            </w:pPr>
            <w:bookmarkStart w:id="142" w:name="Par3469"/>
            <w:bookmarkEnd w:id="142"/>
            <w:r>
              <w:rPr>
                <w:rFonts w:ascii="Calibri" w:hAnsi="Calibri" w:cs="Calibri"/>
              </w:rPr>
              <w:t>1.</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 улучшение инвестиционного климата в Смоленской области</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Актуализация Стратегии социально-экономического развития Смоленской области на долгосрочную перспективу, утвержденную </w:t>
            </w:r>
            <w:hyperlink r:id="rId82" w:history="1">
              <w:r>
                <w:rPr>
                  <w:rFonts w:ascii="Calibri" w:hAnsi="Calibri" w:cs="Calibri"/>
                  <w:color w:val="0000FF"/>
                </w:rPr>
                <w:t>постановлением</w:t>
              </w:r>
            </w:hyperlink>
            <w:r>
              <w:rPr>
                <w:rFonts w:ascii="Calibri" w:hAnsi="Calibri" w:cs="Calibri"/>
              </w:rPr>
              <w:t xml:space="preserve"> Администрации Смоленской области от 26.11.2007 N 418</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внесение изменений в действующую редакцию Стратегии социально-экономического развития Смоленской области на долгосрочную перспективу с учетом текущей конъюнктуры социально-экономического развития региона и продления прогнозного периода минимум до 2025 года. Синхронизация целей, задач, целевых индикаторов и плана мероприятий Стратегии социально-экономического развития и Инвестиционной стратегии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экономического развития (далее - 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стратегия социально-экономического развития Смоленской области не актуализировалась с момента ее принятия и полным образом не отражает изменения в структуре национальной и мировой экономики, не учитывает положения ключевых стратегических документов Российской Федерации, принятых в период с 2008 года по настоящее время. Указанной Стратегией предусмотрена коррекция с внесением поправок и дополнений раз в 3 - 5 лет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заключение о степени соответствия достигнутых результатов поставленным в стратегиях целям с последующим внесением изменений в стратегические документы развития Смоленской области. Новая редакция Стратегии социально-экономического развития Смоленской области с горизонтом планирования (минимум) до 2025 года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2017 года, далее раз в 3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постановления Администрации Смоленской области "Об Инвестиционной стратегии Смоленской области до 2025 года"</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постановления Администрации Смоленской области "Об Инвестиционной стратегии Смоленской области до 2025 года"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необходимость разработки Инвестиционной стратегии Смоленской области обусловлена, в том числе отсутствием в Стратегии социально-экономического развития Смоленской области мер по улучшению инвестиционного климата Смоленской области, описания бизнес-процесса работы с инвестором, показателей эффективности работы профильных организаций и специалистов, непосредственно занимающихся привлечением инвесторов, механизмов улучшения инвестиционного климата</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постановление Администрации Смоленской области "Об Инвестиционной стратегии Смоленской области до 2025 года". Инвестиционная стратегия Смоленской области до 2025 года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реализации Инвестиционной стратегии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и принятие Программы финансирования мероприятий по реализации Стратегии, включая финансирование механизмов и мер поддержки инвестиционных проектов и развития кадрового потенциала, которая должна содержать планы поступлений и расходов денежных средств, определены в ней источники финансирования</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Департамент бюджета и финансов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необходимо определение полномочий должностных лиц органов власти Смоленской области в финансировании и расходовании средств, установлен порядок корректировок при отклонениях в поступлении и расходовании денежных средств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финансирования мероприятий по реализации Инвестиционной стратегии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Контроль и мониторинг реализации мероприятий, запланированных в рамках реализации Инвестиционной стратегии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составление отчетов по результатам достижения плановых значений реализации ключевых мер, оценка соблюдения заранее заданных критериев успеха при реализации Инвестиционной стратегии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Администрация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учет достижения плановых показателей при оценке деятельности руководителей и разработке программ мотивации при реализации Инвестиционной стратегии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регулярная публикация отчетов по результатам достижения плановых значений реализации ключевых мер при реализации Инвестиционной стратегии Смоленской области. Размещение полугодового и годового доклада на сайте Администрации Смоленской области и инвестиционном портале Смоленской области. Выступление Губернатора с ежегодным публичным отчетом о достижениях и планах по привлечению инвестиций</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2 раза в год</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реализации Инвестиционной стратегии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многоязычного специализированного Интернет-портала "Инвестиционный портал Смоленской области". Размещение на инвестиционном портале Смоленской области актуальной информации касательно реализации инвестиционной политики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Департамент по информационным технологиям</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работы инвестиционного портала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постоянно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3"/>
              <w:rPr>
                <w:rFonts w:ascii="Calibri" w:hAnsi="Calibri" w:cs="Calibri"/>
              </w:rPr>
            </w:pPr>
            <w:bookmarkStart w:id="143" w:name="Par3531"/>
            <w:bookmarkEnd w:id="143"/>
            <w:r>
              <w:rPr>
                <w:rFonts w:ascii="Calibri" w:hAnsi="Calibri" w:cs="Calibri"/>
              </w:rPr>
              <w:t>2</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 создание положительного инвестиционного бренда региона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раздела "Инвестиционный климат и инвестиционная политика Смоленской области" послания Губернатора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НПА Смоленской области "О подготовки раздела "Инвестиционный климат и инвестиционная политика Смоленской области" послания Губернатора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вопросы инвестиционного развития попадают или не попадают в текст послания Губернатора случайным образом и могут не повторяться в следующем цикле. Необходимо стандартизировать доведение этой важной информации (как по регулярности, так и по составу информации) до потенциальных инвесторов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приказ Департамента экономического развития Смоленской области "О порядке подготовки раздела "Инвестиционный климат и инвестиционная политика Смоленской области" послания Губернатора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раздела "Инвестиционный климат и инвестиционная политика Смоленской области" послания Губернатора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раздел "Инвестиционный климат и инвестиционная политика Смоленской области" послания Губернатора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эффективной коммуникационной стратегии в продвижении имиджа и работа по брендированию инвестиционного потенциала</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маркетинговой идеи. Выбор и разработка инструментов создания имиджа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13200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13200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определение инвестиционных возможностей муниципальных образований (далее - МО), разработка инвестиционных паспортов МО; Подготовка и проведение визитов инвесторов на инвестиционные площадки и предприятия МО; Организация и проведение обучающих семинаров. Информационное обеспечение и правовое консультирование органов местного самоуправления в сфере инвестиций по вопросам развития муниципальной инфраструктуры</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маркетинговый план на год с указанием целевых показателей работы маркетингового отдела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выпуск информационно-аналитических справочников-путеводителей инвесторов в соответствии с Инвестиционной стратегией Смоленской области </w:t>
            </w:r>
            <w:hyperlink w:anchor="Par3946" w:history="1">
              <w:r>
                <w:rPr>
                  <w:rFonts w:ascii="Calibri" w:hAnsi="Calibri" w:cs="Calibri"/>
                  <w:color w:val="0000FF"/>
                </w:rPr>
                <w:t>&lt;34&gt;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192</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информационно-аналитические справочники-путеводители инвесторов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2.5.</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участие представителей Смоленской области в международных и региональных выставках, форумах, конференциях, посвященных инвестиционной деятельности </w:t>
            </w:r>
            <w:hyperlink w:anchor="Par3947" w:history="1">
              <w:r>
                <w:rPr>
                  <w:rFonts w:ascii="Calibri" w:hAnsi="Calibri" w:cs="Calibri"/>
                  <w:color w:val="0000FF"/>
                </w:rPr>
                <w:t>&lt;35&gt;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66588</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66588</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отчеты об участии представителей Смоленской области в международных и региональных выставках, форумах, конференциях, посвященных инвестиционной деятельности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 далее на постоянной основе</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2.6.</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публикация рекламно-информационных статей об инвестиционных возможностях Смоленской области в международных и российских периодических изданиях </w:t>
            </w:r>
            <w:hyperlink w:anchor="Par3948" w:history="1">
              <w:r>
                <w:rPr>
                  <w:rFonts w:ascii="Calibri" w:hAnsi="Calibri" w:cs="Calibri"/>
                  <w:color w:val="0000FF"/>
                </w:rPr>
                <w:t>&lt;36&gt;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36110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36110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рекламно-информационные статьи об инвестиционных возможностях Смоленской области в международных и российских периодических изданиях</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 далее на постоянной основе</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2.7.</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организация мероприятий, связанных с определением и присвоением Смоленской области кредитного рейтинга </w:t>
            </w:r>
            <w:hyperlink w:anchor="Par3949" w:history="1">
              <w:r>
                <w:rPr>
                  <w:rFonts w:ascii="Calibri" w:hAnsi="Calibri" w:cs="Calibri"/>
                  <w:color w:val="0000FF"/>
                </w:rPr>
                <w:t>&lt;37&gt;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3270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3270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публикация информации о присвоении Смоленской области кредитного рейтинга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 далее раз в 2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3"/>
              <w:rPr>
                <w:rFonts w:ascii="Calibri" w:hAnsi="Calibri" w:cs="Calibri"/>
              </w:rPr>
            </w:pPr>
            <w:bookmarkStart w:id="144" w:name="Par3617"/>
            <w:bookmarkEnd w:id="144"/>
            <w:r>
              <w:rPr>
                <w:rFonts w:ascii="Calibri" w:hAnsi="Calibri" w:cs="Calibri"/>
              </w:rPr>
              <w:t>3.</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 снижение административных барьеров для осуществления инвестиционных проектов</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Приказа ДЭР Администрации Смоленской области "Об утверждении регламента создания проектных команд по поддержке и реализации инвестиционных проектов в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Приказа ДЭР Администрации Смоленской области "Об утверждении регламента создания проектных команд по поддержке и реализации инвестиционных проектов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документ отсутствует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постановление Администрации Смоленской области "Об утверждении регламента создания проектных команд по поддержке и реализации инвестиционных проектов 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постановления Администрации Смоленской области "О регламенте сопровождения инвестиционных проектов по принципу "одного окна" на территории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постановления Администрации Смоленской области "О регламенте сопровождения инвестиционных проектов по принципу "одного окна" на территории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документ отсутствует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постановление Администрации Смоленской области "О регламенте сопровождения инвестиционных проектов по принципу "одного окна" на территории Смоленской области". Регламент сопровождения инвестиционных проектов по принципу "одного окна" на территории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Устранение бюрократических и юридических препятствий для упрощения ведения бизнеса на территории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анализ лучших практик из числа субъектов Российской Федерации и выработка предложений по сокращению сроков и упрощению процедур, связанных с началом ведения бизнеса на территории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Департамент имущественных и земельных отношений; Департамент по энергетике, энергоэффективности, тарифной политики; Департамент государственного строительного и технического надзора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такие мероприятия, как срок оформления земли в аренду, сокращение количества необходимых процедур и сроков для получения разрешений при строительстве объектов и вводе их в эксплуатацию, процедур, связанных с подключением к системе электроснабжения, регистрацией юридического лица, регистрация права собственности должны быть минимальными. Рейтинг Всемирного банка ежегодно является барометром легкости ведения бизнеса для многих потенциальных инвесторов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аналитический доклад, содержащий предложения по проведению мероприятий, направленных на сокращение сроков и упрощение процедур, связанных с началом ведения бизнеса на территории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системы комплексного управления инвестиционным процессом</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инвентаризация существующей нормативно-правовой базы и внесение изменений в нормативно-правовые акты органов исполнительной власти и местного самоуправления муниципальных образований Смоленской области, участвующих в инвестиционном процессе в целях создания эффективной системы комплексного управления инвестиционным процессом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органы власти местного самоуправления муниципальных образований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функции органов исполнительной власти и местного самоуправления муниципальных образований Смоленской области, участвующих в инвестиционном процессе, могут быть дополнены следующими положениями: осуществление реализации государственной политики в сфере поддержки субъектов инвестиционной деятельности; участие в обеспечении государственного регулирования инвестиционной деятельности, осуществляемой в форме капитальных вложений. Содействие привлечению частных инвестиций в экономику региона. Участие в разработке и реализации инвестиционных проектов на территории региона. Участие в подготовке основных направлений бюджетной и налоговой политики, разработка предложений по оказанию хозяйствующим субъектам государственной поддержки в различных формах, предусмотренных законодательством, в целях стимулирования на территории области инвестиционной деятельности с обоснованием эффективности и результативности оказания государственной поддержки; создание эффективной системы мониторинга всех видов государственной поддержки инвестиционной деятельности, обеспечивающей возможность оценки бюджетной эффективности поддержки конкретного инвестиционного проекта; разработка на региональном и муниципальном уровнях согласованных мер поддержки инвестиционной деятельности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актуализированная нормативно-правовая база органов исполнительной власти и местного самоуправления муниципальных образований Смоленской области, участвующих в инвестиционном процессе</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3.5.</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и утверждение учредительных документов специализированной организации по привлечению инвестиций и работе с инвесторами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специализированной организации должны быть установлены показатели эффективности ее работы и работы ее сотрудников; зависимость мер стимулирования сотрудников от степени выполнения данных показателей; установлена система взаимодействия специализированных организаций между собой в целях привлечения инвестиций и сопровождения инвестиционных проектов; уровень консультационных услуг должен охватывать полный спектр задач инвестиционной деятельности (земля, строительство, сети, поставщики, рынок труда, налоги, механизмы поддержки); в области должна быть определена организация, ответственная за создание и управление индустриальными парками и их инфраструктурой, стратегию развития инвестиционно-промышленных площадок региона; функции должны предусматривать создание проектных команд по поддержке и реализации конкретных инвестиционных проектов "под ключ"; Наблюдательный совет (совет директоров) специализированной организации должен возглавляться высшим должностным лицом субъекта Российской Федерации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учредительные документы специализированной организации по привлечению инвестиций и работе с инвесторами 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проекта приказа руководителя Специализированной организации по привлечению инвестиций и работе с инвесторами в Смоленской области "О бизнес-процессе работы специализированной организации по привлечению инвесторов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опыт регионов-лидеров показывает, что у их специализированной организации по привлечению инвесторов есть особый регламент работы с инвесторами. Необходимо внедрить такую практику в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приказ руководителя Специализированной организации по привлечению инвестиций и работе с инвесторами в Смоленской области "О бизнес-процессе работы специализированной организации по привлечению инвесторов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3.6.</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стратегии поиска инвесторов, включая формирование базы данных потенциальных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АПИ; 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основные стратегии проведения исследований тенденций инвестиционной активности в мире, отраслей промышленности как источников вложений и поиска потенциальных инвесторов: использование данных о международных потоках прямых иностранных инвестиций для определения тенденций и поиска возможных источников; идентификация потенциальных доноров через сведения о торговой деятельности; отслеживание деятельности инвесторов через системы электронного оповещения; поиск целевых инвесторов через проектные и корпоративные БД; сравнительный анализ для определения конкурентоспособности региона; поиск наиболее привлекательных регионов в стране через систему географического информирования (GIS)</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стратегия поиска инвесторов. База данных потенциальных инвесторов, созданная на основе перечня компаний из приоритетных отраслей и контактных лиц в этих компаниях</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ежегодное обновление</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3.7.</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программы визита потенциального инвестора на территорию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ходе посещения инвестором региона АПИ должна предоставить информацию для достижения следующих целей инвестором: 1. Собрать подробную информацию о затратах и других данных, необходимых для оценки инвестиционных возможностей региона. 2. Оценить условия деятельности в регионе. 3. Оценить ключевые элементы, на которых строится выбор (квалифицированные кадры, доступные физические активы, возможность снабжения внутри региона, недорогая рабочая сила и др.). 4. Оценить субъективные факторы, включая качество услуг Специализированной организации по привлечению инвестиций и работе с инвесторами в Смоленской области, развития и условия жизни командируемых иностранных служащих</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визита потенциального инвестора на территорию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ежегодное обновление</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3.8.</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мониторинг и оценка результатов деятельности Специализированной организации по привлечению инвестиций и работе с инвесторами в Смоленской области. Учет и оценка поступающих инвестиций. Организация периодического мониторинга удовлетворенности инвестора условиями ведения бизнеса в регионе/наличия проблем, оперативное содействие в их разрешении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АПИ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измерение степени достижения поставленных целей. Сбор сведений (для потенциальных инвесторов, органов власти, партнеров из частного сектора, СМИ и прочих). Сбор информации, полезной для проведения маркетинговых кампаний (положительные отзывы инвесторов о регионе, истории успеха и др.). Оценка инвестиционного климата в регионе и сообщение правительству обо всех недостатках и возможных усовершенствованиях. Оценка эффективности по основным направлениям деятельности: консультирование инвесторов по различным вопросам; разработка PR - политики и подготовка презентационных материалов; маркетинг территорий; формирование перечней инвестиционных площадок и проектов и др.</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отчет о работе Специализированной организации по привлечению инвестиций и работе с инвесторами в Смоленской области. Заключение по опросу инвесторов. Отчет о результатах мониторинга инвестиционного климата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2016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3"/>
              <w:rPr>
                <w:rFonts w:ascii="Calibri" w:hAnsi="Calibri" w:cs="Calibri"/>
              </w:rPr>
            </w:pPr>
            <w:bookmarkStart w:id="145" w:name="Par3727"/>
            <w:bookmarkEnd w:id="145"/>
            <w:r>
              <w:rPr>
                <w:rFonts w:ascii="Calibri" w:hAnsi="Calibri" w:cs="Calibri"/>
              </w:rPr>
              <w:t>4.</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 создание необходимой для осуществления инвестиционных проектов инфраструктуры</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Плана развития инфраструктуры</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приказа Департамента экономического развития Смоленской области "О регламенте ежегодного формирования Плана развития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документ отсутствует. Нет единого плана развития инфраструктуры, вся информация содержится в разных департаментах и муниципалитетах. Необходимо интегрировать информацию в единый сводный документ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план развития инфраструктуры. Приказ Департамента экономического развития Смоленской области "О регламенте ежегодного формирования Плана развития инфраструктуры"</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инвентаризации и оценка эффективности действующих объектов инвестиционной инфраструктуры для размещения производственных и иных объектов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документ отсутствует. Информация является необходимой для планирования дальнейшего развития объектов инфраструктуры</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аналитическая записка об итогах инвентаризации и оценки эффективности действующих объектов инвестиционной инфраструктуры для размещения производственных и иных объектов инвесторов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(ежегодное обновление) Плана развития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сформирован и размещен на сайте Департамента экономического развития Смоленской области в разделе "Инвестиции". На электронную карту Смоленской области нанесены объекты инфраструктуры, создание которых планируется в следующем трехлетнем периоде. Электронная карта Смоленской области размещена на инвестиционном портале Смоленской области по адресу: http://www.smolinvest.com/</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план развития инфраструктуры. Для всех объектов должны быть указаны сведения: об источниках финансирования, планируемые сроки сдачи, фактическое состояние (этап подготовки или исполнения). В плане отражаются планируемые к строительству (реконструкции) инвестиционные объекты с указанием требуемых мощностей потребления энергетических ресурсов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программы создания центров прототипирования, центров внедрения научных разработок и технопарков. Подготовка документов для участия в программах поддержки развития инновационной инфраструктуры</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капитальных вложений будет определен после разработки программы развития индивидуально по каждому объекту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капитальных вложений будет определен после разработки программы развития индивидуально по каждому объекту</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Департамент по образованию, науке и делам молодежи; Департамент по промышленности, транспорту и дорожному хозяйству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анализ наличия и возможностей прототипирования в Смоленской области и регионах-соседях. Анализ требований и потребностей научных учреждений и инвесторов к центрам прототипирования. Анализ наличия и возможностей научно-исследовательских учреждений и инновационных парков в Смоленской области и регионах-соседях. Анализ требований и потребностей инвесторов к научно-исследовательским учреждениям и технопаркам. Подготовка концепций, бизнес-планов, мастер-планов программ развития, дорожных карт для создаваемых и реорганизуемых научно-исследовательских учреждений и технопарков. Получение финансирования и участие в программах поддержки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создания центров прототипирования, центров внедрения научных разработок и технопарков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2017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4.5.</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программы развития новых промышленных зон (индустриальных парков), особых экономических зон</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анализ и подготовка предложений о возможности создания особых экономических зон, индустриальных (промышленных) парков и применение других инструментов привлечения инвестиций на территорию Смоленской области, включая ГЧП. Определение целевого профиля потенциального инвестора. Подготовка концепций, бизнес-планов, мастер-планов программ развития, дорожных карт для создаваемых и реорганизуемых объектов. Получение финансирования и участие в программах поддержки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капитальных вложений будет определен после разработки программы развития индивидуально по каждому объекту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капитальных вложений будет определен после разработки программы развития индивидуально по каждому объекту</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Департамент по промышленности, транспорту и дорожному хозяйству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активная деятельность органов власти на этапе подготовки территории позволит значительно увеличить ее капитализацию и рыночную стоимость, увеличив тем самым доход государства от ее продажи и освоения коммерческими структурами. Государство обладает значительно более эффективными механизмами в этой сфере (административный ресурс, прокладка коммуникаций, изменение статуса территории). Использование государственных ресурсов и инструментов позволит значительно быстрее выводить на рынок территории под девелопмент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развития новых промышленных зон (индустриальных парков), особых экономических зон</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2016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4.6.</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центра кластерного развития (далее - ЦКР)</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концепции развития ЦКР. Подготовка комплекта документов. Участие в конкурсе Минэкономразвития РФ</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целью ЦКР является поддержка формирования и развития кластеров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концепция развития ЦКР. Включение ЦКР в программу поддержки Минэкономразвития РФ</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2016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4.7.</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Определение направлений инвестирования</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выявление приоритетных кластеров для развития в регионе. Проведение учредительных собраний кластеров. Проведение стратегических сессий. Подготовка концепций развития кластеров. Создание Интернет-ресурса. Проведение информационной компании в СМИ. Участие в отраслевых выставках. Привлечение в кластеры лидеров отрасли. Проведение обучающих семинаров. Реализация совместных кластерных проектов. Содействие экспорту</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реализация основных принципов кластерного развития на территории Смоленской области направлена 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содействие повышению конкурентоспособности предприятий и организаций, входящих в состав территориальных кластеров;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развитие инновационной, производственной, транспортной, энергетической, инженерной, жилищной и социальной инфраструктуры территориальных кластеров;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содействие привлечению на территорию базирования территориальных кластеров инвестиций;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развитие системы профессионального и непрерывного образования;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развитие малого и среднего предпринимательства;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формирование, развитие и тиражирование эффективных механизмов частногосударственного партнерства;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развитие международной научно-технической и производственной кооперации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отраслевых кластеров на территории Смоленской области. Разработка концепций развития кластеров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2017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4.8.</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дополнительного исследования о целесообразности создания аэропорта в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дополнительного исследования о целесообразности создания аэропорта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Департамент по промышленности, транспорту и дорожному хозяйству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одним из толчков к развитию Смоленской области станет открытие на базе аэродрома "Северный" международного аэропорта двойного назначения (транспортно-пассажирского), который может оттянуть к себе часть пассажиро- и грузопотока аэропортов московского авиаузла за счет более низких тарифов на обслуживание</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аналитический отчет о целесообразности строительства аэропорта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2017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3"/>
              <w:rPr>
                <w:rFonts w:ascii="Calibri" w:hAnsi="Calibri" w:cs="Calibri"/>
              </w:rPr>
            </w:pPr>
            <w:bookmarkStart w:id="146" w:name="Par3832"/>
            <w:bookmarkEnd w:id="146"/>
            <w:r>
              <w:rPr>
                <w:rFonts w:ascii="Calibri" w:hAnsi="Calibri" w:cs="Calibri"/>
              </w:rPr>
              <w:t>5.</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 улучшение состояния рынка труда, развитие системы подготовки и переподготовки высококвалифицированных кадров</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системы образования, ориентированной на потребности экономики области, и развитие системы профориентации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сводного прогноза потребностей регионального рынка труда в специалистах различных направлений, основанного на потребностях инвесторов и прогнозе социально-экономического развития (на 7 лет)</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Департамент по образованию, науке и делам молодежи; Департамент государственной службы занятости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документ должен учитывать: наличие в образовательных учреждениях региона образовательных программ, разработанных с участием хозяйствующих субъектов, которые направлены на удовлетворение потребностей новых производств. Критерии обеспечения кадрами бизнеса. Наличие договоров между образовательными учреждениями (высшего и среднеспециального образования) и коммерческими структурами о целевой подготовке специалистов. Результаты прогноза должны публиковаться в сети Интернет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о прогнозе потребностей регионального рынка труда в специалистах различных направлений, основанного на потребностях инвесторов и прогнозе социально-экономического развития (на 7 лет)</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предложений по коррекции действующей системы переподготовки и трудоустройства выпускников специальностей, мало востребованных на рынке труда Смоленской области, в соответствии с Инвестиционной стратегией и потребностями инвесторов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Департамент по образованию, науке и делам молодежи; Департамент государственной службы занятости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документ отсутствует. Действующая система переподготовки и трудоустройства выпускников специальностей, мало востребованных на рынке труда Смоленской области, не обеспечивает гибкую обратную связь между потребностями предприятий и организаций и мощностью образовательных учреждений. Необходимо наладить их взаимодействие</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доклад с предложениями по коррекции действующей системы переподготовки и трудоустройства выпускников специальностей, мало востребованных на рынке труда Смоленской области, в соответствии с Инвестиционной стратегией и потребностями инвесторов</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 участием хозяйствующих субъектов образовательных программ, которые направлены на удовлетворение потребностей новых производств</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Департамент по образованию, науке и делам молодежи; Департамент государственной службы занятости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необходимо заключение договоров между образовательными учреждениями (высшего и среднего специального образования) и коммерческими структурами о целевой подготовке специалистов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отчет Департамента Смоленской области по образованию, науки и делам молодежи, копии соглашений</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Создание/развитие системы обучения сотрудников органов государственной власти субъектов Российской Федерации по работе с инвесторами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системы повышения квалификации для специалистов органов власти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5560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5560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Аппарат Администрации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аттестация госслужащих, с целью определения соответствия замещаемой должности. Проводится работа по разработке квалификационных требований. При оценке соискателей учитывается наличие опыта работы по реализации предпринимательских проектов, бизнес-образования (преимущественно в зарубежных бизнес-школах и университетах)</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стажировки сотрудников в иных субъектах РФ и за рубежом. Описание компетенций по должностям, определяющих требования к необходимым знаниям, навыкам. Учет специалистов, имеющих свидетельства по программе повышения квалификации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 далее постоянно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5.4.</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системы мотивации специалистов, взаимодействующих с инвесторами, основанной на ключевых показателях эффективности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документ отсутствует. Метод мотивации ключевых сотрудников с использованием показателей эффективности доказал свою пользу и высокую результативность. Необходимо внедрить этот метод в практику работы региональных органов исполнительной власти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приказ ДЭР о системе мотивации сотрудников профильных исполнительных органов государственной власти Смоленской обл., участвующих в инвестиционном процессе, основанный на ключевых показателях эффективности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2014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3"/>
              <w:rPr>
                <w:rFonts w:ascii="Calibri" w:hAnsi="Calibri" w:cs="Calibri"/>
              </w:rPr>
            </w:pPr>
            <w:bookmarkStart w:id="147" w:name="Par3894"/>
            <w:bookmarkEnd w:id="147"/>
            <w:r>
              <w:rPr>
                <w:rFonts w:ascii="Calibri" w:hAnsi="Calibri" w:cs="Calibri"/>
              </w:rPr>
              <w:t>6.</w:t>
            </w:r>
          </w:p>
        </w:tc>
        <w:tc>
          <w:tcPr>
            <w:tcW w:w="2403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Цель: развитие среднего и малого предпринимательства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6.1.</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Специальная программа работы с министерствами по увеличению суммы получаемых федеральных средств и средств федеральных институтов развития</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специальной группы специалистов для увеличения доли федерального финансирования в реализации мероприятий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необходимо проведение непрерывного мониторинга планов министерств и ведомств по созданию целевых программ с целью участия Смоленской области в мероприятиях по реализации принятых программ и привлечения средств федерального бюджета на софинансирование мероприятий в Смоленской области. Необходимо обеспечить корректное оформление заявок для прохождения процедуры отбора дальнейшего участия в принятых программах</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привлеченных средств федерального бюджета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полугодие 2015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6.2.</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новых финансовых механизмов привлечения инвестиций и поддержки инвесторов</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анализ лучших практик применения существующих финансовых механизмов поддержки инвесторов с целью оценки возможности их внедрения на территории Смоленской области и разработка мероприятий по их внедрению</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основным приоритетом внедренных механизмов финансовой поддержки инвесторов должно стать стимулирование инвестиционных процессов в области, направленных на привлечение и создание новых производств, развитие инноваций и новых технологий, увеличение доли высокопроизводительных рабочих мест</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аналитический доклад и план мероприятий по внедрению механизмов финансовой поддержки инвесторов на территории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 далее ежегодно</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6.3.</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Совершенствование нормативно-правовой базы Смоленской области</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инвентаризации существующей нормативно-правовой базы и формирование максимально простой системы нормативно-правовых актов, регулирующих вопросы поддержки развития малого и среднего предпринимательства в Смоленской области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ДЭР; Смоленский областной фонд поддержки малого предпринимательства</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персонал отв. исполнителя</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значительное количество постановлений Администрации Смоленской области, регулирующих вопросы определения порядка предоставления субсидий субъектам малого и среднего предпринимательства, проведения конкурсов. Значительное количество нормативных правовых актов затрудняет участие предпринимателей в конкурсных процедурах</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система нормативно-правовых актов, регулирующих вопросы поддержки развития малого и среднего предпринимательства в Смоленской области</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полугодие 2015 года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3"/>
              <w:rPr>
                <w:rFonts w:ascii="Calibri" w:hAnsi="Calibri" w:cs="Calibri"/>
              </w:rPr>
            </w:pPr>
            <w:bookmarkStart w:id="148" w:name="Par3932"/>
            <w:bookmarkEnd w:id="148"/>
            <w:r>
              <w:rPr>
                <w:rFonts w:ascii="Calibri" w:hAnsi="Calibri" w:cs="Calibri"/>
              </w:rPr>
              <w:t>7.</w:t>
            </w:r>
          </w:p>
        </w:tc>
        <w:tc>
          <w:tcPr>
            <w:tcW w:w="2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Итого</w:t>
            </w: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184070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184070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49" w:name="Par3946"/>
      <w:bookmarkEnd w:id="149"/>
      <w:r>
        <w:rPr>
          <w:rFonts w:ascii="Calibri" w:hAnsi="Calibri" w:cs="Calibri"/>
        </w:rPr>
        <w:t xml:space="preserve">&lt;34&gt; План мероприятий по продвижению бренда и инвестиционной привлекательности Смоленской области представлен в </w:t>
      </w:r>
      <w:hyperlink w:anchor="Par5492" w:history="1">
        <w:r>
          <w:rPr>
            <w:rFonts w:ascii="Calibri" w:hAnsi="Calibri" w:cs="Calibri"/>
            <w:color w:val="0000FF"/>
          </w:rPr>
          <w:t>таблице 28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50" w:name="Par3947"/>
      <w:bookmarkEnd w:id="150"/>
      <w:r>
        <w:rPr>
          <w:rFonts w:ascii="Calibri" w:hAnsi="Calibri" w:cs="Calibri"/>
        </w:rPr>
        <w:t xml:space="preserve">&lt;35&gt; План мероприятий по продвижению бренда и инвестиционной привлекательности Смоленской области представлен в </w:t>
      </w:r>
      <w:hyperlink w:anchor="Par5492" w:history="1">
        <w:r>
          <w:rPr>
            <w:rFonts w:ascii="Calibri" w:hAnsi="Calibri" w:cs="Calibri"/>
            <w:color w:val="0000FF"/>
          </w:rPr>
          <w:t>таблице 28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51" w:name="Par3948"/>
      <w:bookmarkEnd w:id="151"/>
      <w:r>
        <w:rPr>
          <w:rFonts w:ascii="Calibri" w:hAnsi="Calibri" w:cs="Calibri"/>
        </w:rPr>
        <w:t xml:space="preserve">&lt;36&gt; План мероприятий по продвижению бренда и инвестиционной привлекательности Смоленской области представлен в </w:t>
      </w:r>
      <w:hyperlink w:anchor="Par5492" w:history="1">
        <w:r>
          <w:rPr>
            <w:rFonts w:ascii="Calibri" w:hAnsi="Calibri" w:cs="Calibri"/>
            <w:color w:val="0000FF"/>
          </w:rPr>
          <w:t>таблице 28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52" w:name="Par3949"/>
      <w:bookmarkEnd w:id="152"/>
      <w:r>
        <w:rPr>
          <w:rFonts w:ascii="Calibri" w:hAnsi="Calibri" w:cs="Calibri"/>
        </w:rPr>
        <w:t xml:space="preserve">&lt;37&gt; План мероприятий по продвижению бренда и инвестиционной привлекательности Смоленской области представлен в </w:t>
      </w:r>
      <w:hyperlink w:anchor="Par5492" w:history="1">
        <w:r>
          <w:rPr>
            <w:rFonts w:ascii="Calibri" w:hAnsi="Calibri" w:cs="Calibri"/>
            <w:color w:val="0000FF"/>
          </w:rPr>
          <w:t>таблице 28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153" w:name="Par3951"/>
      <w:bookmarkEnd w:id="153"/>
      <w:r>
        <w:rPr>
          <w:rFonts w:ascii="Calibri" w:hAnsi="Calibri" w:cs="Calibri"/>
        </w:rPr>
        <w:t>11. Оценка объема бюджетного финансирования,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направленного на реализацию стратегии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154" w:name="Par3954"/>
      <w:bookmarkEnd w:id="154"/>
      <w:r>
        <w:rPr>
          <w:rFonts w:ascii="Calibri" w:hAnsi="Calibri" w:cs="Calibri"/>
        </w:rPr>
        <w:t>Таблица 20</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55" w:name="Par3956"/>
      <w:bookmarkEnd w:id="155"/>
      <w:r>
        <w:rPr>
          <w:rFonts w:ascii="Calibri" w:hAnsi="Calibri" w:cs="Calibri"/>
        </w:rPr>
        <w:t>Оценка объема бюджетных ассигнований из средств бюджета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 необходимого для реализации Стратегии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 мероприятиям, требующим финансирования,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 годам реализации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685"/>
        <w:gridCol w:w="794"/>
        <w:gridCol w:w="624"/>
        <w:gridCol w:w="624"/>
        <w:gridCol w:w="737"/>
        <w:gridCol w:w="737"/>
        <w:gridCol w:w="624"/>
        <w:gridCol w:w="624"/>
        <w:gridCol w:w="737"/>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Мероприятие</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Всего, тыс. руб.</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2019</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2020 - 2025</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Актуализация Стратегии социально-экономического развития Смоленской области на долгосрочную перспективу, утвержденную </w:t>
            </w:r>
            <w:hyperlink r:id="rId83" w:history="1">
              <w:r>
                <w:rPr>
                  <w:rFonts w:ascii="Calibri" w:hAnsi="Calibri" w:cs="Calibri"/>
                  <w:color w:val="0000FF"/>
                </w:rPr>
                <w:t>постановлением</w:t>
              </w:r>
            </w:hyperlink>
            <w:r>
              <w:rPr>
                <w:rFonts w:ascii="Calibri" w:hAnsi="Calibri" w:cs="Calibri"/>
              </w:rPr>
              <w:t xml:space="preserve"> Администрации Смоленской области от 26.11.2007 N 418</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Обеспечение реализации Инвестиционной стратегии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эффективной коммуникационной стратегии в продвижении имиджа и работа по брендированию инвестиционного потенциала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7200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информационно-аналитических справочников-путеводителей инвесторов в соответствии с Инвестиционной стратегией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192</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международных и региональных выставках, форумах, конференциях, посвященных инвестиционной деятельности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66588</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1465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5920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5920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5920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35523</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Публикация рекламно-информационных статей об инвестиционных возможностях Смоленской области в международных и российских периодических изданиях</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36110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19610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мероприятий, связанных с определением и присвоением Смоленской области кредитного рейтинга</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3270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545</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545</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1635</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стратегии поиска инвесторов, включая формирование базы данных потенциальных инвесторов</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программы создания центров прототипирования, центров внедрения научных разработок и технопарков. Подготовка документов для участия в программах поддержки развития инновационной инфраструктуры</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программы развития новых промышленных зон (индустриальных парков), особых экономических зон</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центра кластерного развития (далее - ЦКР)</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Определение направлений инвестирования</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дополнительного исследования о целесообразности создания аэропорта в Смоленской области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Создание/развитие системы обучения сотрудников органов государственной власти субъектов Российской Федерации по работе с инвесторами</w:t>
            </w:r>
          </w:p>
        </w:tc>
        <w:tc>
          <w:tcPr>
            <w:tcW w:w="7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460</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460</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3030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Итого</w:t>
            </w:r>
          </w:p>
        </w:tc>
        <w:tc>
          <w:tcPr>
            <w:tcW w:w="550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184070</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Инвестиционной стратегии Смоленской области направлены на создание и развитие нормативной правовой базы в сфере улучшения инвестиционного климата региона. В связи с этим на данном этапе не предусмотрено привлечение средств федерального бюджета и внебюджетных источников.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федеральный бюджет и средства частных инвесторов являются важными источниками финансирования мероприятий, направленных на создание капитальных объектов инвестиционной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плане мероприятий </w:t>
      </w:r>
      <w:hyperlink w:anchor="Par3454" w:history="1">
        <w:r>
          <w:rPr>
            <w:rFonts w:ascii="Calibri" w:hAnsi="Calibri" w:cs="Calibri"/>
            <w:color w:val="0000FF"/>
          </w:rPr>
          <w:t>(таблица 19)</w:t>
        </w:r>
      </w:hyperlink>
      <w:r>
        <w:rPr>
          <w:rFonts w:ascii="Calibri" w:hAnsi="Calibri" w:cs="Calibri"/>
        </w:rPr>
        <w:t xml:space="preserve"> предусмотрена необходимость участия Смоленской области в федеральных программах поддержки развития малого и среднего бизнеса, моногородов, инновационного развития и т.д. Однако конкретные объемы финансирования из федерального бюджета можно будет определить только после подготовки пакетов документов для участия в проводимых на федеральном уровне конкурсах и подведения итогов данных конкурсов. Рекомендации по привлечению средств федерального бюджета даны в </w:t>
      </w:r>
      <w:hyperlink w:anchor="Par4124" w:history="1">
        <w:r>
          <w:rPr>
            <w:rFonts w:ascii="Calibri" w:hAnsi="Calibri" w:cs="Calibri"/>
            <w:color w:val="0000FF"/>
          </w:rPr>
          <w:t>разделе 12.1</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средств внебюджетных источников должно быть предусмотрено при разработке программ развития научной/инновационной инфраструктуры и программ развития новых промышленных зон (индустриальных парков), особых экономических зон посредством создания частных индустриальных парков, использования механизмов ГЧП и т.д. Рекомендации по привлечению внебюджетных средств даны в </w:t>
      </w:r>
      <w:hyperlink w:anchor="Par4278" w:history="1">
        <w:r>
          <w:rPr>
            <w:rFonts w:ascii="Calibri" w:hAnsi="Calibri" w:cs="Calibri"/>
            <w:color w:val="0000FF"/>
          </w:rPr>
          <w:t>разделе 12.3</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Структура финансирования по каждому объекту инвестиционной инфраструктуры должна определяться индивидуально в соответствии с программой развития данного объекта.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156" w:name="Par4121"/>
      <w:bookmarkEnd w:id="156"/>
      <w:r>
        <w:rPr>
          <w:rFonts w:ascii="Calibri" w:hAnsi="Calibri" w:cs="Calibri"/>
        </w:rPr>
        <w:t>12. Особенности взаимодействия с разными источниками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финансирования мероприятий инвестиционной стратегии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57" w:name="Par4124"/>
      <w:bookmarkEnd w:id="157"/>
      <w:r>
        <w:rPr>
          <w:rFonts w:ascii="Calibri" w:hAnsi="Calibri" w:cs="Calibri"/>
        </w:rPr>
        <w:t>12.1. Привлечение средств федерального бюджета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федерального бюджета - один из наиболее дешевых и длинных источников финансирования проектов на территории региона и основной источник для финансирования социальных объектов. SWOT-анализ использования источников бюджетных средств (в рамках реализации федеральных целевых программ) рассмотрен в </w:t>
      </w:r>
      <w:hyperlink w:anchor="Par4133" w:history="1">
        <w:r>
          <w:rPr>
            <w:rFonts w:ascii="Calibri" w:hAnsi="Calibri" w:cs="Calibri"/>
            <w:color w:val="0000FF"/>
          </w:rPr>
          <w:t>таблице 21</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методы привлечения инвестиций в экономику региона с использованием поддержки государственных органов можно разделить на две группы: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финансовые: прямое финансирование и кредитование инвесторов, залог имущества субъектов РФ и муниципальных образований, предоставление гарантий по инвестиционным кредитам, субсидирование процентной ставки по банковским инвестиционным кредитам;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налоговые: структуры налоговой системы, изменение налоговой нагрузки, инвестиционные налоговые льготы.</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58" w:name="Par4131"/>
      <w:bookmarkEnd w:id="158"/>
      <w:r>
        <w:rPr>
          <w:rFonts w:ascii="Calibri" w:hAnsi="Calibri" w:cs="Calibri"/>
        </w:rPr>
        <w:t>Таблица 21</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59" w:name="Par4133"/>
      <w:bookmarkEnd w:id="159"/>
      <w:r>
        <w:rPr>
          <w:rFonts w:ascii="Calibri" w:hAnsi="Calibri" w:cs="Calibri"/>
        </w:rPr>
        <w:t>SWOT-анализ использования источников бюджетных средств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рамках реализации федеральных целевых программ)</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818"/>
        <w:gridCol w:w="4818"/>
      </w:tblGrid>
      <w:tr w:rsidR="00703D06">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Сильные стороны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Контроль над реализацией проекта и расходованием средств остается у власти.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Возможность финансировать проект любого масштаба, включая инфраструктурные проекты.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Возможность финансировать проекты с длительными сроками окупаемости.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Возможность финансировать формально убыточные проекты (возврат инвестиций через налоговые платежи).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Стабильный приток инвестиций в случае принятия программы</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Слабые стороны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Возможность привлекать средства только в России.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Жесткие рамки и требования для финансируемых областей/проектов.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Длительный бюрократический процесс принятия решения о выделении средств.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Временные задержки от принятия решения до выделения средств.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Запутанная система отчетов о целевом использовании средств.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Отсутствие достаточного количества подходящих по условиям финансирования межмуниципальных инвестиционных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Отсутствие достаточного количества подготовленных промышленных зон и инвестиционных площадок для реализации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Низкая активность органов муниципальной власти в сфере привлечения инвестиций.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 Низкая квалификация специалистов для корректного заполнения необходимых форм-заявок</w:t>
            </w:r>
          </w:p>
        </w:tc>
      </w:tr>
      <w:tr w:rsidR="00703D06">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Возможности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Увеличение эффективности расходования бюджетных средств.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Увеличение объемов выделяемых бюджетных средств.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Наличие опыта локализации нескольких крупных мировых брендов в регионе позитивно оценивается как самими инвесторами, так и представителями федеральной и региональной власти.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Развитие инновационного потенциала.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Совершенствование инфраструктуры, в том числе развитие транспортно-логистических узлов.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Развитие конкурентных преимуществ региона.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Создание условий для формирования инвестиционных площадок.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Совершенствование межрегиональных связей и внешнеэкономической деятельности</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Угрозы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Смена власти в регионе или приоритетов власти.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Снижение доходов бюджета может привести к отсрочке финансирования проектов или отказу от некоторых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Недостаточное количество размежеванных земельных участков и идентификации собственников земельных участков под создание индустриальных парков.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Непредсказуемость рыночной конъюнктуры</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60" w:name="Par4171"/>
      <w:bookmarkEnd w:id="160"/>
      <w:r>
        <w:rPr>
          <w:rFonts w:ascii="Calibri" w:hAnsi="Calibri" w:cs="Calibri"/>
        </w:rPr>
        <w:t>Федеральные целевые программы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сегодняшний день в Российской Федерации в различных стадиях реализации находятся 54 федеральных целевых программы (далее - ФЦП) </w:t>
      </w:r>
      <w:hyperlink w:anchor="Par4175" w:history="1">
        <w:r>
          <w:rPr>
            <w:rFonts w:ascii="Calibri" w:hAnsi="Calibri" w:cs="Calibri"/>
            <w:color w:val="0000FF"/>
          </w:rPr>
          <w:t>&lt;38&gt;</w:t>
        </w:r>
      </w:hyperlink>
      <w:r>
        <w:rPr>
          <w:rFonts w:ascii="Calibri" w:hAnsi="Calibri" w:cs="Calibri"/>
        </w:rPr>
        <w:t xml:space="preserve">. Целевая программа может включать в себя несколько подпрограмм, направленных на решение конкретных задач в рамках программы (см. </w:t>
      </w:r>
      <w:hyperlink w:anchor="Par11429" w:history="1">
        <w:r>
          <w:rPr>
            <w:rFonts w:ascii="Calibri" w:hAnsi="Calibri" w:cs="Calibri"/>
            <w:color w:val="0000FF"/>
          </w:rPr>
          <w:t>приложение 10</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61" w:name="Par4175"/>
      <w:bookmarkEnd w:id="161"/>
      <w:r>
        <w:rPr>
          <w:rFonts w:ascii="Calibri" w:hAnsi="Calibri" w:cs="Calibri"/>
        </w:rPr>
        <w:t>&lt;38&gt; http://fcp.economy.gov.ru/cgi-bin/cis/fcp.cgi/Fcp/Title/.</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Федеральные целевые программы реализуются по девяти направлениям </w:t>
      </w:r>
      <w:hyperlink w:anchor="Par4193" w:history="1">
        <w:r>
          <w:rPr>
            <w:rFonts w:ascii="Calibri" w:hAnsi="Calibri" w:cs="Calibri"/>
            <w:color w:val="0000FF"/>
          </w:rPr>
          <w:t>(рис. 1)</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высоких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жилье;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транспортная инфраструктура;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Дальний Восток;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села;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социальная инфраструктура;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безопасность;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регионов;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государственных институтов.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Инвестиционные расходы бюджета в целом за 2012 - 2014 гг. в реальном выражении сокращаются, и ожидается, что тенденция снижения доли государственных капитальных вложений в структуре инвестиций продолжится.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Динамика инвестиций в среднесрочной перспективе во многом будет обусловлена программами государственной поддержки отечественного производства. Финансирование высокотехнологичного комплекса из федерального бюджета увеличится в 1,4 - 1,6 раза.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объемах инвестирования в основной капитал сельского хозяйства во многом влияют погодные условия (засуха, наводнения). При этом в 2013 году закончился срок реализации федеральных целевых программ "</w:t>
      </w:r>
      <w:hyperlink r:id="rId84" w:history="1">
        <w:r>
          <w:rPr>
            <w:rFonts w:ascii="Calibri" w:hAnsi="Calibri" w:cs="Calibri"/>
            <w:color w:val="0000FF"/>
          </w:rPr>
          <w:t>Социальное развитие села</w:t>
        </w:r>
      </w:hyperlink>
      <w:r>
        <w:rPr>
          <w:rFonts w:ascii="Calibri" w:hAnsi="Calibri" w:cs="Calibri"/>
        </w:rPr>
        <w:t xml:space="preserve"> до 2013 года" и "</w:t>
      </w:r>
      <w:hyperlink r:id="rId85" w:history="1">
        <w:r>
          <w:rPr>
            <w:rFonts w:ascii="Calibri" w:hAnsi="Calibri" w:cs="Calibri"/>
            <w:color w:val="0000FF"/>
          </w:rPr>
          <w:t>Сохранение и восстановление плодородия</w:t>
        </w:r>
      </w:hyperlink>
      <w:r>
        <w:rPr>
          <w:rFonts w:ascii="Calibri" w:hAnsi="Calibri" w:cs="Calibri"/>
        </w:rPr>
        <w:t xml:space="preserve"> почв земель сельскохозяйственного назначения и агроландшафтов как национального достояния России на 2006 - 2010 годы и на период до 2013 года". Развитие поддержки сельского хозяйства продолжится в ФЦП: </w:t>
      </w:r>
      <w:hyperlink r:id="rId86" w:history="1">
        <w:r>
          <w:rPr>
            <w:rFonts w:ascii="Calibri" w:hAnsi="Calibri" w:cs="Calibri"/>
            <w:color w:val="0000FF"/>
          </w:rPr>
          <w:t>программа</w:t>
        </w:r>
      </w:hyperlink>
      <w:r>
        <w:rPr>
          <w:rFonts w:ascii="Calibri" w:hAnsi="Calibri" w:cs="Calibri"/>
        </w:rPr>
        <w:t xml:space="preserve"> "Устойчивое развитие сельских территорий на 2014 - 2017 годы и на период до 2020 года", </w:t>
      </w:r>
      <w:hyperlink r:id="rId87" w:history="1">
        <w:r>
          <w:rPr>
            <w:rFonts w:ascii="Calibri" w:hAnsi="Calibri" w:cs="Calibri"/>
            <w:color w:val="0000FF"/>
          </w:rPr>
          <w:t>Программа</w:t>
        </w:r>
      </w:hyperlink>
      <w:r>
        <w:rPr>
          <w:rFonts w:ascii="Calibri" w:hAnsi="Calibri" w:cs="Calibri"/>
        </w:rPr>
        <w:t xml:space="preserve"> "Развитие мелиорации земель сельскохозяйственного назначения России на 2014 - 2020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Траектория инвестиций в основной капитал отраслей социальной сферы определяется динамикой бюджетных расходов. Номинальный темп роста бюджетных инвестиций в образование не будет снижаться ниже 14% в год, в здравоохранение - ниже 12%. Их доля в общем объеме инвестиций в социальный комплекс будет сокращаться за счет расширения привлечения частного капитала.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кредитного рынка должно обеспечить рост финансирования инвестиций за счет кредитных средств интенсивными темпами. По оценкам, доля финансирования инвестиций за счет кредитов банков и других организаций вырастет к 2014 году до 15 - 15,5% (в 2010 году - 14,3%).</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62" w:name="Par4193"/>
      <w:bookmarkEnd w:id="162"/>
      <w:r>
        <w:rPr>
          <w:rFonts w:ascii="Calibri" w:hAnsi="Calibri" w:cs="Calibri"/>
        </w:rPr>
        <w:t>Рис. 1. Структура бюджетного финансирования целевых программ</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разрезе приоритетов в 2014 г., % (источник: ФЦП России)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163" w:name="Par4196"/>
      <w:bookmarkEnd w:id="163"/>
      <w:r>
        <w:rPr>
          <w:rFonts w:ascii="Calibri" w:hAnsi="Calibri" w:cs="Calibri"/>
        </w:rPr>
        <w:t>Доля бюджетных назначений на ФЦП в разрезе приоритетов,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 год</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224.25pt">
            <v:imagedata r:id="rId88" o:title=""/>
          </v:shape>
        </w:pic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Смоленская область участвовала в следующих программах: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89" w:history="1">
        <w:r>
          <w:rPr>
            <w:rFonts w:ascii="Calibri" w:hAnsi="Calibri" w:cs="Calibri"/>
            <w:color w:val="0000FF"/>
          </w:rPr>
          <w:t>программа</w:t>
        </w:r>
      </w:hyperlink>
      <w:r>
        <w:rPr>
          <w:rFonts w:ascii="Calibri" w:hAnsi="Calibri" w:cs="Calibri"/>
        </w:rPr>
        <w:t xml:space="preserve"> "Жилище" на 2011 - 2015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90" w:history="1">
        <w:r>
          <w:rPr>
            <w:rFonts w:ascii="Calibri" w:hAnsi="Calibri" w:cs="Calibri"/>
            <w:color w:val="0000FF"/>
          </w:rPr>
          <w:t>программа</w:t>
        </w:r>
      </w:hyperlink>
      <w:r>
        <w:rPr>
          <w:rFonts w:ascii="Calibri" w:hAnsi="Calibri" w:cs="Calibri"/>
        </w:rPr>
        <w:t xml:space="preserve"> "Развитие транспортной системы России (2010 - 2015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91" w:history="1">
        <w:r>
          <w:rPr>
            <w:rFonts w:ascii="Calibri" w:hAnsi="Calibri" w:cs="Calibri"/>
            <w:color w:val="0000FF"/>
          </w:rPr>
          <w:t>программа</w:t>
        </w:r>
      </w:hyperlink>
      <w:r>
        <w:rPr>
          <w:rFonts w:ascii="Calibri" w:hAnsi="Calibri" w:cs="Calibri"/>
        </w:rPr>
        <w:t xml:space="preserve"> "Научные и научно-педагогические кадры инновационной России" на 2009 - 2013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92" w:history="1">
        <w:r>
          <w:rPr>
            <w:rFonts w:ascii="Calibri" w:hAnsi="Calibri" w:cs="Calibri"/>
            <w:color w:val="0000FF"/>
          </w:rPr>
          <w:t>программа</w:t>
        </w:r>
      </w:hyperlink>
      <w:r>
        <w:rPr>
          <w:rFonts w:ascii="Calibri" w:hAnsi="Calibri" w:cs="Calibri"/>
        </w:rPr>
        <w:t xml:space="preserve"> "Развитие физической культуры и спорта в Российской Федерации на 2006 - 2015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Федеральная целевая </w:t>
      </w:r>
      <w:hyperlink r:id="rId93" w:history="1">
        <w:r>
          <w:rPr>
            <w:rFonts w:ascii="Calibri" w:hAnsi="Calibri" w:cs="Calibri"/>
            <w:color w:val="0000FF"/>
          </w:rPr>
          <w:t>программа</w:t>
        </w:r>
      </w:hyperlink>
      <w:r>
        <w:rPr>
          <w:rFonts w:ascii="Calibri" w:hAnsi="Calibri" w:cs="Calibri"/>
        </w:rPr>
        <w:t xml:space="preserve"> развития образования на 2011 - 2015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Государственная </w:t>
      </w:r>
      <w:hyperlink r:id="rId94" w:history="1">
        <w:r>
          <w:rPr>
            <w:rFonts w:ascii="Calibri" w:hAnsi="Calibri" w:cs="Calibri"/>
            <w:color w:val="0000FF"/>
          </w:rPr>
          <w:t>программа</w:t>
        </w:r>
      </w:hyperlink>
      <w:r>
        <w:rPr>
          <w:rFonts w:ascii="Calibri" w:hAnsi="Calibri" w:cs="Calibri"/>
        </w:rPr>
        <w:t xml:space="preserve"> "Доступная среда" на 2011 - 2015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95" w:history="1">
        <w:r>
          <w:rPr>
            <w:rFonts w:ascii="Calibri" w:hAnsi="Calibri" w:cs="Calibri"/>
            <w:color w:val="0000FF"/>
          </w:rPr>
          <w:t>программа</w:t>
        </w:r>
      </w:hyperlink>
      <w:r>
        <w:rPr>
          <w:rFonts w:ascii="Calibri" w:hAnsi="Calibri" w:cs="Calibri"/>
        </w:rPr>
        <w:t xml:space="preserve"> "Культура России (2012 - 2018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96" w:history="1">
        <w:r>
          <w:rPr>
            <w:rFonts w:ascii="Calibri" w:hAnsi="Calibri" w:cs="Calibri"/>
            <w:color w:val="0000FF"/>
          </w:rPr>
          <w:t>программа</w:t>
        </w:r>
      </w:hyperlink>
      <w:r>
        <w:rPr>
          <w:rFonts w:ascii="Calibri" w:hAnsi="Calibri" w:cs="Calibri"/>
        </w:rPr>
        <w:t xml:space="preserve"> "Развитие водохозяйственного комплекса Российской Федерации в 2012 - 2020 годах";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Государственная </w:t>
      </w:r>
      <w:hyperlink r:id="rId97" w:history="1">
        <w:r>
          <w:rPr>
            <w:rFonts w:ascii="Calibri" w:hAnsi="Calibri" w:cs="Calibri"/>
            <w:color w:val="0000FF"/>
          </w:rPr>
          <w:t>программа</w:t>
        </w:r>
      </w:hyperlink>
      <w:r>
        <w:rPr>
          <w:rFonts w:ascii="Calibri" w:hAnsi="Calibri" w:cs="Calibri"/>
        </w:rPr>
        <w:t xml:space="preserve"> "Информационное общество (2011 - 2020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98" w:history="1">
        <w:r>
          <w:rPr>
            <w:rFonts w:ascii="Calibri" w:hAnsi="Calibri" w:cs="Calibri"/>
            <w:color w:val="0000FF"/>
          </w:rPr>
          <w:t>программа</w:t>
        </w:r>
      </w:hyperlink>
      <w:r>
        <w:rPr>
          <w:rFonts w:ascii="Calibri" w:hAnsi="Calibri" w:cs="Calibri"/>
        </w:rPr>
        <w:t xml:space="preserve"> "Развитие телерадиовещания в Российской Федерации на 2009 - 2015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Государственная </w:t>
      </w:r>
      <w:hyperlink r:id="rId99" w:history="1">
        <w:r>
          <w:rPr>
            <w:rFonts w:ascii="Calibri" w:hAnsi="Calibri" w:cs="Calibri"/>
            <w:color w:val="0000FF"/>
          </w:rPr>
          <w:t>программа</w:t>
        </w:r>
      </w:hyperlink>
      <w:r>
        <w:rPr>
          <w:rFonts w:ascii="Calibri" w:hAnsi="Calibri" w:cs="Calibri"/>
        </w:rPr>
        <w:t xml:space="preserve"> развития сельского хозяйства и регулирования рынков сельскохозяйственной продукции, сырья и продовольствия на 2013 - 2020 годы;</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Государственная </w:t>
      </w:r>
      <w:hyperlink r:id="rId100" w:history="1">
        <w:r>
          <w:rPr>
            <w:rFonts w:ascii="Calibri" w:hAnsi="Calibri" w:cs="Calibri"/>
            <w:color w:val="0000FF"/>
          </w:rPr>
          <w:t>программа</w:t>
        </w:r>
      </w:hyperlink>
      <w:r>
        <w:rPr>
          <w:rFonts w:ascii="Calibri" w:hAnsi="Calibri" w:cs="Calibri"/>
        </w:rPr>
        <w:t xml:space="preserve">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27.12.2010 N 2446-р, утратила силу в связи с изданием </w:t>
      </w:r>
      <w:hyperlink r:id="rId101" w:history="1">
        <w:r>
          <w:rPr>
            <w:rFonts w:ascii="Calibri" w:hAnsi="Calibri" w:cs="Calibri"/>
            <w:color w:val="0000FF"/>
          </w:rPr>
          <w:t>Постановления</w:t>
        </w:r>
      </w:hyperlink>
      <w:r>
        <w:rPr>
          <w:rFonts w:ascii="Calibri" w:hAnsi="Calibri" w:cs="Calibri"/>
        </w:rPr>
        <w:t xml:space="preserve"> Правительства РФ от 06.06.2013 N 479.</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Государственная </w:t>
      </w:r>
      <w:hyperlink r:id="rId102" w:history="1">
        <w:r>
          <w:rPr>
            <w:rFonts w:ascii="Calibri" w:hAnsi="Calibri" w:cs="Calibri"/>
            <w:color w:val="0000FF"/>
          </w:rPr>
          <w:t>программа</w:t>
        </w:r>
      </w:hyperlink>
      <w:r>
        <w:rPr>
          <w:rFonts w:ascii="Calibri" w:hAnsi="Calibri" w:cs="Calibri"/>
        </w:rPr>
        <w:t xml:space="preserve"> Российской Федерации "Энергосбережение и повышение энергетической эффективности на период до 2020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приоритетами федерального финансирования в рамках целевых программ в 2014 г. являются: развитие высоких технологий, транспортная инфраструктура, социальная инфраструктура, безопасность. В соответствии с этими приоритетами степень участия Смоленской области в федеральных целевых программах может быть расширена за счет: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03" w:history="1">
        <w:r>
          <w:rPr>
            <w:rFonts w:ascii="Calibri" w:hAnsi="Calibri" w:cs="Calibri"/>
            <w:color w:val="0000FF"/>
          </w:rPr>
          <w:t>программа</w:t>
        </w:r>
      </w:hyperlink>
      <w:r>
        <w:rPr>
          <w:rFonts w:ascii="Calibri" w:hAnsi="Calibri" w:cs="Calibri"/>
        </w:rPr>
        <w:t xml:space="preserve"> "Исследования и разработки по приоритетным направлениям развития научно-технологического комплекса России" на 2014 - 2020 годы - реализация мероприятий в Смоленской области, нацеленных на формирование конкурентоспособного и эффективно функционирующего сектора исследований и разработок в области прикладных исследований;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04" w:history="1">
        <w:r>
          <w:rPr>
            <w:rFonts w:ascii="Calibri" w:hAnsi="Calibri" w:cs="Calibri"/>
            <w:color w:val="0000FF"/>
          </w:rPr>
          <w:t>программа</w:t>
        </w:r>
      </w:hyperlink>
      <w:r>
        <w:rPr>
          <w:rFonts w:ascii="Calibri" w:hAnsi="Calibri" w:cs="Calibri"/>
        </w:rPr>
        <w:t xml:space="preserve"> "Научные и научно-педагогические кадры инновационной России" на 2014 - 2020 годы - дальнейшая реализация мероприятий в Смоленской области, нацеленных на развитие системы эффективного воспроизводства высокопрофессиональных кадров научной и научно-образовательной сферы и повышение их конкурентоспособности на мировом уровне;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05" w:history="1">
        <w:r>
          <w:rPr>
            <w:rFonts w:ascii="Calibri" w:hAnsi="Calibri" w:cs="Calibri"/>
            <w:color w:val="0000FF"/>
          </w:rPr>
          <w:t>программа</w:t>
        </w:r>
      </w:hyperlink>
      <w:r>
        <w:rPr>
          <w:rFonts w:ascii="Calibri" w:hAnsi="Calibri" w:cs="Calibri"/>
        </w:rPr>
        <w:t xml:space="preserve"> "Развитие внутреннего и въездного туризма в Российской Федерации (2011 - 2018 годы)" - реализация мероприятий по развитию туристско-рекреационного комплекса Смоленской области, повышению качества туристских услуг, продвижению туристского продукта области на мировом и внутреннем туристских рынках.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организации взаимодействия с федеральными органами власти, представительствами других регионов Российской Федерации, международными организациями в 2002 году создано Представительство Администрации Смоленской области при Правительстве Российской Федерации (далее - Представительство) </w:t>
      </w:r>
      <w:hyperlink w:anchor="Par4224" w:history="1">
        <w:r>
          <w:rPr>
            <w:rFonts w:ascii="Calibri" w:hAnsi="Calibri" w:cs="Calibri"/>
            <w:color w:val="0000FF"/>
          </w:rPr>
          <w:t>&lt;39&gt;</w:t>
        </w:r>
      </w:hyperlink>
      <w:r>
        <w:rPr>
          <w:rFonts w:ascii="Calibri" w:hAnsi="Calibri" w:cs="Calibri"/>
        </w:rPr>
        <w:t>. Представительство оказывает содействие исполнительным органам власти Смоленской области, объединениям предпринимателей, отдельным предприятиям и гражданам области в развитии деловых и культурных контактов как с субъектами Российской Федерации, так и с иностранными контрагентами; способствует повышению инвестиционной привлекательности Смоленской области, пропагандируя ее достижения в области экономики, науки и техники, культуры и спорта.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64" w:name="Par4224"/>
      <w:bookmarkEnd w:id="164"/>
      <w:r>
        <w:rPr>
          <w:rFonts w:ascii="Calibri" w:hAnsi="Calibri" w:cs="Calibri"/>
        </w:rPr>
        <w:t>&lt;39&gt; http://admin-smolensk.ru/authorities/predstavitelstvo_administracii_smolenskoy_oblasti_pri_pravitelst/.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повышения эффективности участия в рамках федеральных целевых программ предлагается в Представительстве создать специальную группу специалистов (с опытом работы в федеральных министерствах), которая будет решать следующие конкретные задачи: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Осуществлять непрерывный мониторинг планов министерств и ведомств по созданию целевых программ, в которых Смоленская область могла бы участвовать и привлекать федеральное софинансирование.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Обеспечивать корректное и грамотное оформление всех необходимых заявок для гарантированного прохождения входного отбора в федеральных министерствах.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Обеспечивать выделение полной суммы средств федерального бюджета, заложенных в ФЦП, в которых участвует Смоленская область.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65" w:name="Par4231"/>
      <w:bookmarkEnd w:id="165"/>
      <w:r>
        <w:rPr>
          <w:rFonts w:ascii="Calibri" w:hAnsi="Calibri" w:cs="Calibri"/>
        </w:rPr>
        <w:t>12.2. Привлечение средств областного и местных бюджетов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средств областного и местных бюджетов происходит также посредством целевых программ. Структура областного бюджета определяет активность притока в область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Целевой объем бюджетного финансирования (региональный бюджет), направленного на реализацию Стратегии, планируется в размере 184070 тыс. руб. (см. </w:t>
      </w:r>
      <w:hyperlink w:anchor="Par3956" w:history="1">
        <w:r>
          <w:rPr>
            <w:rFonts w:ascii="Calibri" w:hAnsi="Calibri" w:cs="Calibri"/>
            <w:color w:val="0000FF"/>
          </w:rPr>
          <w:t>таблицу 20</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состоянию на конец третьего квартала 2013 года в регионе реализовывалось 62 долгосрочные областные целевые программы, 50 ведомственных целевых программ </w:t>
      </w:r>
      <w:hyperlink w:anchor="Par4237" w:history="1">
        <w:r>
          <w:rPr>
            <w:rFonts w:ascii="Calibri" w:hAnsi="Calibri" w:cs="Calibri"/>
            <w:color w:val="0000FF"/>
          </w:rPr>
          <w:t>&lt;40&gt;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66" w:name="Par4237"/>
      <w:bookmarkEnd w:id="166"/>
      <w:r>
        <w:rPr>
          <w:rFonts w:ascii="Calibri" w:hAnsi="Calibri" w:cs="Calibri"/>
        </w:rPr>
        <w:t>&lt;40&gt; http://econsmolensk.ru/Otchetyi_o_realizatsii_programm_za_2013_god/.</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Приоритетным направлением бюджетных ассигнований, предусмотренных на реализацию областных целевых программ, являются отрасли социальной сферы. В частности, в 2013 году развитие инфраструктуры Смоленской области осуществлялось в рамках реализации следующих долгосрочных областных целевых программ:</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Долгосрочная областная целевая </w:t>
      </w:r>
      <w:hyperlink r:id="rId106" w:history="1">
        <w:r>
          <w:rPr>
            <w:rFonts w:ascii="Calibri" w:hAnsi="Calibri" w:cs="Calibri"/>
            <w:color w:val="0000FF"/>
          </w:rPr>
          <w:t>программа</w:t>
        </w:r>
      </w:hyperlink>
      <w:r>
        <w:rPr>
          <w:rFonts w:ascii="Calibri" w:hAnsi="Calibri" w:cs="Calibri"/>
        </w:rPr>
        <w:t xml:space="preserve"> "Энергосбережение и повышение энергетической эффективности в Смоленской области" на 2010 - 2020 годы, утвержденная постановлением Администрации Смоленской области от 29.07.2010 N 445, утратила силу с 21 января 2014 года в связи с изданием </w:t>
      </w:r>
      <w:hyperlink r:id="rId107" w:history="1">
        <w:r>
          <w:rPr>
            <w:rFonts w:ascii="Calibri" w:hAnsi="Calibri" w:cs="Calibri"/>
            <w:color w:val="0000FF"/>
          </w:rPr>
          <w:t>постановления</w:t>
        </w:r>
      </w:hyperlink>
      <w:r>
        <w:rPr>
          <w:rFonts w:ascii="Calibri" w:hAnsi="Calibri" w:cs="Calibri"/>
        </w:rPr>
        <w:t xml:space="preserve"> Администрации Смоленской области от 21.01.2014 N 14.</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w:t>
      </w:r>
      <w:hyperlink r:id="rId108" w:history="1">
        <w:r>
          <w:rPr>
            <w:rFonts w:ascii="Calibri" w:hAnsi="Calibri" w:cs="Calibri"/>
            <w:color w:val="0000FF"/>
          </w:rPr>
          <w:t>Энергосбережение и повышение энергетической эффективности</w:t>
        </w:r>
      </w:hyperlink>
      <w:r>
        <w:rPr>
          <w:rFonts w:ascii="Calibri" w:hAnsi="Calibri" w:cs="Calibri"/>
        </w:rPr>
        <w:t xml:space="preserve"> в Смоленской области" на 2010 - 2020 годы - внедрение энергосберегающих технологий в сфере потребления тепловой энергии и воды, утепление зданий, проведение обязательных энергетических обследований в областных государственных учреждениях, перевод электрокотельной на газовое отопление и другие работы.</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Долгосрочная областная целевая </w:t>
      </w:r>
      <w:hyperlink r:id="rId109" w:history="1">
        <w:r>
          <w:rPr>
            <w:rFonts w:ascii="Calibri" w:hAnsi="Calibri" w:cs="Calibri"/>
            <w:color w:val="0000FF"/>
          </w:rPr>
          <w:t>программа</w:t>
        </w:r>
      </w:hyperlink>
      <w:r>
        <w:rPr>
          <w:rFonts w:ascii="Calibri" w:hAnsi="Calibri" w:cs="Calibri"/>
        </w:rPr>
        <w:t xml:space="preserve"> "Газификация Смоленской области" на 2012 - 2015 годы, утвержденная постановлением Администрации Смоленской области от 30.09.2011 N 604, утратила силу с 1 января 2014 года в связи с изданием </w:t>
      </w:r>
      <w:hyperlink r:id="rId110" w:history="1">
        <w:r>
          <w:rPr>
            <w:rFonts w:ascii="Calibri" w:hAnsi="Calibri" w:cs="Calibri"/>
            <w:color w:val="0000FF"/>
          </w:rPr>
          <w:t>постановления</w:t>
        </w:r>
      </w:hyperlink>
      <w:r>
        <w:rPr>
          <w:rFonts w:ascii="Calibri" w:hAnsi="Calibri" w:cs="Calibri"/>
        </w:rPr>
        <w:t xml:space="preserve"> Администрации Смоленской области от 31.12.2013 N 1189.</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11" w:history="1">
        <w:r>
          <w:rPr>
            <w:rFonts w:ascii="Calibri" w:hAnsi="Calibri" w:cs="Calibri"/>
            <w:color w:val="0000FF"/>
          </w:rPr>
          <w:t>"Газификация Смоленской области"</w:t>
        </w:r>
      </w:hyperlink>
      <w:r>
        <w:rPr>
          <w:rFonts w:ascii="Calibri" w:hAnsi="Calibri" w:cs="Calibri"/>
        </w:rPr>
        <w:t xml:space="preserve"> на 2012 - 2015 годы - проложены сети газопроводов протяженностью 107,4 км.</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Долгосрочная областная целевая </w:t>
      </w:r>
      <w:hyperlink r:id="rId112" w:history="1">
        <w:r>
          <w:rPr>
            <w:rFonts w:ascii="Calibri" w:hAnsi="Calibri" w:cs="Calibri"/>
            <w:color w:val="0000FF"/>
          </w:rPr>
          <w:t>программа</w:t>
        </w:r>
      </w:hyperlink>
      <w:r>
        <w:rPr>
          <w:rFonts w:ascii="Calibri" w:hAnsi="Calibri" w:cs="Calibri"/>
        </w:rPr>
        <w:t xml:space="preserve"> "Совершенствование и развитие сети автомобильных дорог общего пользования в Смоленской области" на 2013 - 2015 годы, утвержденная постановлением Администрации Смоленской области от 21.09.2012 N 680, утратила силу с 1 января 2014 года в связи с изданием </w:t>
      </w:r>
      <w:hyperlink r:id="rId113" w:history="1">
        <w:r>
          <w:rPr>
            <w:rFonts w:ascii="Calibri" w:hAnsi="Calibri" w:cs="Calibri"/>
            <w:color w:val="0000FF"/>
          </w:rPr>
          <w:t>постановления</w:t>
        </w:r>
      </w:hyperlink>
      <w:r>
        <w:rPr>
          <w:rFonts w:ascii="Calibri" w:hAnsi="Calibri" w:cs="Calibri"/>
        </w:rPr>
        <w:t xml:space="preserve"> Администрации Смоленской области от 25.12.2013 N 1117.</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w:t>
      </w:r>
      <w:hyperlink r:id="rId114" w:history="1">
        <w:r>
          <w:rPr>
            <w:rFonts w:ascii="Calibri" w:hAnsi="Calibri" w:cs="Calibri"/>
            <w:color w:val="0000FF"/>
          </w:rPr>
          <w:t>Совершенствование и развитие сети автомобильных дорог</w:t>
        </w:r>
      </w:hyperlink>
      <w:r>
        <w:rPr>
          <w:rFonts w:ascii="Calibri" w:hAnsi="Calibri" w:cs="Calibri"/>
        </w:rPr>
        <w:t xml:space="preserve"> общего пользования в Смоленской области" на 2013 - 2015 годы - капитальный ремонт автодорог (Кардымовский район), реконструкция моста через реку Сож (Починковский район), содержание мостов и путепроводов на автомобильных дорогах общего пользования регионального и межмуниципального значения; предоставлены субсидии для софинансирования расходов бюджетов муниципальных образований Смоленской области на выполнение работ по капитальному ремонту и ремонту автомобильных дорог общего пользования населенных пунктов.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67" w:name="Par4256"/>
      <w:bookmarkEnd w:id="167"/>
      <w:r>
        <w:rPr>
          <w:rFonts w:ascii="Calibri" w:hAnsi="Calibri" w:cs="Calibri"/>
        </w:rPr>
        <w:t>Совершенствование системы льгот и государственной поддержки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Инвестиционной стратегии, достижению которых напрямую способствует мера: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среднего и малого предпринимательства.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сути меры, а также ее ожидаемого результата: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части затрат предпринимательских структур в рамках проекта за счет бюджетов всех уровней;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расширение направлений (видов) льгот и мер поддержки инвестиционной деятельности;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объема льгот и мер поддержки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Укрупненный план-график реализации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Аудит необходимости, обоснованности и эффективности предоставления существующих льгот и мер поддержки инвестиций: 2014 - 2015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Разработка нормативных правовых актов, закрепляющих необходимые и эффективные льготы и меры поддержки инвестиций: 2014 - 2015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Мониторинг использования льгот и мер поддержки: 2015 - 2025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Контроль использования льгот и мер поддержки: 2015 - 2025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Критерии успеха применения меры, предполагающие возможность количественной оценки: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правового нормативного акта (анализ нормативной базы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объем субсидий из регионального бюджета, направленный на поддержку инвесторов (анализ отчетности);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объем субсидий из федерального бюджета, направленный на поддержку инвесторов (анализ отчетности);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объем производства получателей льгот и мер поддержки на 1 руб. поддержки (анализ отчетности);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количество получателей льгот и мер поддержки (анализ отчетности).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Структура и (или) конкретное лицо, отвечающее за реализацию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68" w:name="Par4278"/>
      <w:bookmarkEnd w:id="168"/>
      <w:r>
        <w:rPr>
          <w:rFonts w:ascii="Calibri" w:hAnsi="Calibri" w:cs="Calibri"/>
        </w:rPr>
        <w:t>12.3. Привлечение средств частных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частных инвесторов - самый масштабный источник для инвестиций в регион. Однако они и самые чувствительные к состоянию инвестиционного климата. SWOT-анализ использования средств частных инвесторов рассмотрен в </w:t>
      </w:r>
      <w:hyperlink w:anchor="Par4284" w:history="1">
        <w:r>
          <w:rPr>
            <w:rFonts w:ascii="Calibri" w:hAnsi="Calibri" w:cs="Calibri"/>
            <w:color w:val="0000FF"/>
          </w:rPr>
          <w:t>таблице 22</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69" w:name="Par4282"/>
      <w:bookmarkEnd w:id="169"/>
      <w:r>
        <w:rPr>
          <w:rFonts w:ascii="Calibri" w:hAnsi="Calibri" w:cs="Calibri"/>
        </w:rPr>
        <w:t>Таблица 22</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70" w:name="Par4284"/>
      <w:bookmarkEnd w:id="170"/>
      <w:r>
        <w:rPr>
          <w:rFonts w:ascii="Calibri" w:hAnsi="Calibri" w:cs="Calibri"/>
        </w:rPr>
        <w:t>SWOT-анализ использования средств частных инвесторов</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818"/>
        <w:gridCol w:w="4818"/>
      </w:tblGrid>
      <w:tr w:rsidR="00703D06">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Сильные стороны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Возможность привлекать средства по всему миру.</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Прямые контакты с потенциальными инвесторами.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Более быстрое принятие решений, короткие сроки реализации проектов, быстрый эффект от инвестиций.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Высокая экономическая эффективность инвестиций.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Высокая вероятность успешности проектов с участием частных инвестиций из-за более тщательного анализа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Работа инвестора продолжается и в постинвестиционный период.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Квалифицированная рабочая сила повышает вероятность прихода инвестора.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Растущая покупательная способность внутреннего рынка.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 Формирование перечня потенциальных объектов инвестирования повышает привлекательность региона</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Слабые стороны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Значительные регулирующие барьеры для ведения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Коррупция снижает привлекательность страны.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Высокая неопределенность успеха привлечения.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Высокая трудоемкость на один проект независимо от величины проекта (небольшие проекты менее выгодны, так как требуют одинаковых трудозатрат с крупными).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Непрозрачность принятия политических решений снижает привлекательность страны.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Неэффективность судебной системы снижает привлекательность страны.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"Развитая" бюрократия снижает привлекательность страны.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Слабое конкурентное законодательство снижает привлекательность страны</w:t>
            </w:r>
          </w:p>
        </w:tc>
      </w:tr>
      <w:tr w:rsidR="00703D06">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Возможности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Строительство инфраструктурных объектов будет способствовать росту частных инвестиций.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Улучшение инвестиционного климата будет способствовать росту частных инвестиций.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Распространение информации о регионе, как привлекательном объекте для вложения капитала.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Нет существенных ограничений для объемов частных инвестиций.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С ростом количества локализованных мировых брендов в регионе будет расти эффективность мероприятий по привлечению инвестиций.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Развитие кредитного рынка должно обеспечить рост финансирования инвестиций за счет кредитных средств.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Восстановление экономики позволит компаниям последовательно наращивать инвестиции за счет собственных средств.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 Высокий уровень экономического роста страны и региона.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 Макроэкономическая стабильность.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 Политическая стабильность.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 Проведение структурных реформ</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Угрозы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Частные инвестиции очень чувствительны к классическим бизнес-рискам: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законодательным;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политическим;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конъюнктурным;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и другим.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Отсутствие согласованной и целенаправленной политики привлечения ПИИ</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сегодняшний день на территории Смоленской области есть ряд предприятий, которые имеют потенциал или уже реализуют инвестиции, которые являются базой для появления стратегических проектов, если они выступят в роли ядра формирования кластеров. Роль таких драйверов могут выполнять проекты, нацеленные на внедрение современных технологий производства и создание новых продуктов: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"ЭГГЕР ДРЕВПРОДУКТ ГАГАРИН" при участии иностранного капитала группы компаний ЭГГЕР (Австрия) - реализация инвестиционных проектов по организации производства облицованной ДСП (КТ 4) и производства линии импрегнирования (пропитки) декоративной бумаги;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"Игоревский деревообрабатывающий комбинат" - реконструкция и расширение производства шлифованных и ламинированных древесностружечных плит, строительство завода древесноволокнистых плит;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ЗАО "Стеклозавод Ворга" - создание производства архитектурно-строительного, фотовольтаического и дисплейного стекла, организация инновационного производства по изготовлению композитных материалов - стеклоарматуры и стеклокомпозита;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ОАО "Дорогобуж" (российская химическая группа "Акрон") - модернизация производственных мощностей по производству минеральных удобрений;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 другие проекты и инициативы;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так и уже работающие на территории области центры инжиниринга, исследований и разработок предприятий: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ФГУП "Смоленское производственное объединение "Аналитприбор" имеет собственную технологическую базу для проведения научно-исследовательских и опытно-конструкторских работ (НИОКР) по разработке первичных измерительных преобразователей (датчиков) различного назначения;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Научно-производственная организация "Рубикон-Инновация" имеет собственную технологическую базу для проведения научно-исследовательских и опытно-конструкторских работ (НИОКР) по разработке бортовой аппаратуры нового поколения со сложной схемотехникой;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 другие проекты и инициативы.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1" w:name="Par4340"/>
      <w:bookmarkEnd w:id="171"/>
      <w:r>
        <w:rPr>
          <w:rFonts w:ascii="Calibri" w:hAnsi="Calibri" w:cs="Calibri"/>
        </w:rPr>
        <w:t>Существующие и планируемые частные инвесторы</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 крупных иностранных инвесторов, успевших оценить преимущества реализации проектов в Смоленской области, являются такие компании с мировым именем как "ОСРАМ" (OSRAM GmbH, Германия), "ЭГГЕР" (EGGER, Австрия), "Фрисомат" (Frisomat, Бельгия).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ОАО "Сафоновохлеб" созданы совместные с Израилем и Болгарией предприятия по производству сухих завтраков, кексов, рулетов; в перспективе - создание еще двух совместных предприятий с Болгарией и Германией для обновления ассортимента и повышения качества изделий. Успешно идет работа и с китайскими партнерами - ОАО "Вязьма-Си-Лайон" производит оборудование для химчисток. ЗАО "Фестальпине Аркада Профиль" (Австрия) является ведущей компанией России по производству холоднокатаных профилей из тонколистового стального и алюминиевого проката.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2" w:name="Par4346"/>
      <w:bookmarkEnd w:id="172"/>
      <w:r>
        <w:rPr>
          <w:rFonts w:ascii="Calibri" w:hAnsi="Calibri" w:cs="Calibri"/>
        </w:rPr>
        <w:t>Усиление работы с потенциальными инвесторами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через инвестиционный портал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Инвестиционной стратегии, достижению которых напрямую способствует мера: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положительного инвестиционного бренда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необходимой для осуществления инвестиционных проектов инфраструктуры (информационной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сути меры, а также ее ожидаемого результата: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инвестиционный портал в наглядной форме предоставляет потенциальным инвесторам необходимую информацию о ресурсах региона, способствуя повышению конкурентоспособности Смоленской области за счет прозрачности условий инвестирования.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Укрупненный план-график реализации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портал должен поддерживать в актуальном состоянии следующую информацию, позволяющую инвестору принять решение о наиболее эффективном размещении объекта на территории региона, а также оценить инвестиционный потенциал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Кадровый потенциал.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Инфраструктура для приезжающих работников, в том числе иностранных.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Информация о подрядчиках.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Информация о стоимости земли и тарифах на территории области, а также информация в общем доступе по котельным, мощностям, нагрузке сети.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Информация по инфраструктуре.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Размещение производств на территории области, а также инвестиционных площадок, индустриальных и технопарков.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База по неиспользуемым промышленным площадкам (в том числе с возможностью пополнения муниципалитетами и предприятиями).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Анализ населенных пунктов по перспективности размещения производства.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Критерии успеха применения меры, предполагающие возможность количественной оценки: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Приток внешних инвестиций, в том числе иностранных.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Структура и (или) конкретное лицо, отвечающее за реализацию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Департамент Смоленской области по информационным технологиям, связи и обеспечению предоставления услуг в электронном виде.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3" w:name="Par4370"/>
      <w:bookmarkEnd w:id="173"/>
      <w:r>
        <w:rPr>
          <w:rFonts w:ascii="Calibri" w:hAnsi="Calibri" w:cs="Calibri"/>
        </w:rPr>
        <w:t>Создание бренда, продвижение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Брендинг территории - эффективный инструмент решения задач социально-экономического развития территорий.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Сильный инвестиционный бренд позволяет: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улучшить качество жизни в регионе, удерживая местное население от миграции и притягивая новое население, обладающее востребованными квалификацией и навыками;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стимулировать приток средств федерального бюджета;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стимулировать экспансию местных производителей в другие регионы (экспорт);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стимулировать приток внешних инвестиций в приоритетные отрасли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стимулировать процессы кластерного развития приоритетных отраслей экономики, в том числе туризма;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улучшить результаты оценки эффективности деятельности органов исполнительной власти и Губернатора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примеров известных российских инвестиционных брендов можно привести Калужскую область, Омскую область, Новосибирскую область, Республику Коми, Вологодскую область и другие. Калужская область стала первым регионом России, у которого появились бренд-менеджер и структура управления. При этом по факту эта структура обслуживает, в первую очередь, инвестиционный климат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Инвестиционной стратегии, достижению которых напрямую способствует мера: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положительного инвестиционного бренда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сути меры, а также ее ожидаемого результата: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исследование видения уникальности территории различными группами населения;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оценка имиджевой ситуации территории;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экспертное мнение об уникальности территории;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целей создания уникальности территории;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дорожные карты по продвижению уникальности территории;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концепции (смысловой) продвижения уникальности территории;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механизма управления продвижением уникальности территории.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Укрупненный план-график реализации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Разработка конкурса на создание инвестиционного бренда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Создание специализированной организации по управлению инвестиционным брендом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Реализация мероприятий по продвижению инвестиционного бренда региона (организация, проведение и участие в экономических и инвестиционных событиях, работа по улучшению рейтингов региона в ведущих российских и зарубежных рейтинговых агентствах и многое другое).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Критерии успеха применения меры, предполагающие возможность количественной оценки: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приток внешний инвестиций, в том числе иностранных;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узнаваемости области, бренда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возникновение комплексного представления о регионе;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упоминаемость региона в СМИ;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количества экономических и инвестиционных событий в регионе за год.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Структура и (или) конкретное лицо, отвечающее за реализацию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Главное управление информационной политики и общественных связей Администрации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4" w:name="Par4405"/>
      <w:bookmarkEnd w:id="174"/>
      <w:r>
        <w:rPr>
          <w:rFonts w:ascii="Calibri" w:hAnsi="Calibri" w:cs="Calibri"/>
        </w:rPr>
        <w:t>Трансформация организационного процесса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Важным направлением работы по интенсификации процесса привлечения инвестиций должно стать изменение организационного процесса. Для повышения эффективности работы органов исполнительной власти Смоленской области необходимо создание содержательной ответственности сотрудников за процесс привлечения инвестиций. Привлечение инвестиций не относится к прямым полномочиям органов исполнительной власти Смоленской области, а скорее к вероятностным (рисковым) процессам. Однако привлечение средств является одним из инструментов, обеспечивающих выполнение полномочий. Работа органов исполнительной власти должна охватывать не только сферу использования бюджетных средств, но и сферу их привлечения.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Инвестиционной стратегии, достижению которых напрямую способствует мера: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административных барьеров для осуществления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сути меры, а также ее ожидаемого результата: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количества административных процедур;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сроков административных процедур;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стоимости административных процедур;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обеспечение доступности и открытости органов государственной власти региона и муниципальных образований.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необходимы привлечение к сотрудничеству с органами исполнительной власти специалистов, знакомых с отраслевой спецификой Смоленской области; формирование рабочих групп из представителей предприятий области, профильных ассоциаций и организаций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Укрупненный план-график реализации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Создание рабочих групп из представителей предприятий, органов исполнительной власти, профильных ассоциаций и организаций для выявления существующих проблем и поисков путей их решения.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Сравнительный аудит процедур, необходимых для осуществления инвестиционного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Разработка административных регламентов с закреплением этапов, сроков, исполнителей, стоимости процедур.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Мониторинг выполнения регламентов процедур.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Контроль исполнения процедур и координация участников процедур.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Создание инвестиционного совета при Губернаторе.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Создание канала прямой связи с Губернатором.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Организация отраслевых конференций, целью которых стоит информирование предприятий об имеющихся возможностях, инициативах и нововведениях Администрации области (например, о кластерной политике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Увеличение административной поддержки, оптимизация существующих процедур.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Создание региональных институтов развития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Критерии успеха применения меры, предполагающие возможность количественной оценки: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"одного окна" (анализ регламентов);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ежегодного публичного отчета Губернатора о достижениях и планах по привлечению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количество, сроки и стоимость процедур;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выполнение решений инвестиционного совета при Губернаторе;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канала прямой связи с Губернатором.</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75" w:name="Par4434"/>
      <w:bookmarkEnd w:id="175"/>
      <w:r>
        <w:rPr>
          <w:rFonts w:ascii="Calibri" w:hAnsi="Calibri" w:cs="Calibri"/>
        </w:rPr>
        <w:t>12.4. Привлечение средств с использованием механизма ГЧП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Государственно-частное партнерство (далее - ГЧП) представляет собой взаимовыгодное сотрудничество публичного и частного партнеров, посредством которого: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реализуются задачи, стоящие перед публичными образованиями;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повышаются качество и доступность услуг, оказываемых публичными образованиями.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достижения указанных целей осуществляется привлечение средств частного инвестора, а также происходит распределение рисков между сторонами партнерства. Понятие государственно-частного партнерства может рассматриваться в широком и узком смыслах. В широком смысле под ГЧП понимается любое взаимодействие власти и бизнеса, направленное на достижение целей социально-экономического развития государства или региона, в том числе: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государства и частных инвесторов в рамках государственных контрактов, арендных отношений;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реализация федеральных целевых программ;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ассигнований Инвестиционного фонда РФ;</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и развитие особых экономических зон, индустриальных парков, территорий опережающего развития и пр.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узком смысле ГЧП представляет собой различного рода контрактные формы сотрудничества публичной и частной сторон, в результате которого происходит снижение нагрузки на бюджет и получение прибыли инвестором. Объектом ГЧП может являться имущество, входящее в состав транспортной, социальной, энергетической, коммунальной и иных видов инфраструктуры. В качестве объекта ГЧП могут также выступать любые функции, выполняемые публичной стороной, например, публичные или государственные услуги. Предмет ГЧП составляют отношения публичного и частного партнеров, возникающие в процессе реализации конкретного проекта, которым присущи следующие особенности: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инвестиций в объект инфраструктуры, последующее использование данного объекта с целью оказания услуг населению либо эксплуатация объекта;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инвестиционной и доходной стадий реализации ГЧП-проекта;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долгосрочный характер государственно-частного партнерства (как правило, более 10 лет);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договорная основа отношений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распределение рисков между сторонами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эффективности использования бюджетных средств.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механизмов ГЧП, с одной стороны, происходит привлечение дополнительных инвестиций в объекты инфраструктуры и повышение качества предоставляемых населению услуг, а с другой стороны, публичный партнер за счет длительного характера отношений в рамках ГЧП получает существенную бюджетную экономию. Развитие механизмов государственно-частного партнерства на региональном уровне благоприятно сказывается на инвестиционной привлекательности субъекта и повышении уровня жизни населения, а также способствует эффективному социально-экономическому развитию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6" w:name="Par4453"/>
      <w:bookmarkEnd w:id="176"/>
      <w:r>
        <w:rPr>
          <w:rFonts w:ascii="Calibri" w:hAnsi="Calibri" w:cs="Calibri"/>
        </w:rPr>
        <w:t>Нормативно-правовая основа реализации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настоящее время на федеральном уровне отсутствует специальный закон, регулирующий отношения в сфере государственно-частного партнерства. Проект Федерального закона "Об основах государственно-частного партнерства в Российской Федерации" находится на рассмотрении в Государственной Думе, а к различным аспектам реализации проектов ГЧП применяются соответствующие положения Гражданского </w:t>
      </w:r>
      <w:hyperlink r:id="rId115" w:history="1">
        <w:r>
          <w:rPr>
            <w:rFonts w:ascii="Calibri" w:hAnsi="Calibri" w:cs="Calibri"/>
            <w:color w:val="0000FF"/>
          </w:rPr>
          <w:t>кодекса</w:t>
        </w:r>
      </w:hyperlink>
      <w:r>
        <w:rPr>
          <w:rFonts w:ascii="Calibri" w:hAnsi="Calibri" w:cs="Calibri"/>
        </w:rPr>
        <w:t xml:space="preserve"> РФ, </w:t>
      </w:r>
      <w:hyperlink r:id="rId116" w:history="1">
        <w:r>
          <w:rPr>
            <w:rFonts w:ascii="Calibri" w:hAnsi="Calibri" w:cs="Calibri"/>
            <w:color w:val="0000FF"/>
          </w:rPr>
          <w:t>Бюджетного</w:t>
        </w:r>
      </w:hyperlink>
      <w:r>
        <w:rPr>
          <w:rFonts w:ascii="Calibri" w:hAnsi="Calibri" w:cs="Calibri"/>
        </w:rPr>
        <w:t xml:space="preserve"> и </w:t>
      </w:r>
      <w:hyperlink r:id="rId117" w:history="1">
        <w:r>
          <w:rPr>
            <w:rFonts w:ascii="Calibri" w:hAnsi="Calibri" w:cs="Calibri"/>
            <w:color w:val="0000FF"/>
          </w:rPr>
          <w:t>Градостроительного</w:t>
        </w:r>
      </w:hyperlink>
      <w:r>
        <w:rPr>
          <w:rFonts w:ascii="Calibri" w:hAnsi="Calibri" w:cs="Calibri"/>
        </w:rPr>
        <w:t xml:space="preserve"> кодексов РФ, налогового и земельного законодательства, Федерального </w:t>
      </w:r>
      <w:hyperlink r:id="rId118" w:history="1">
        <w:r>
          <w:rPr>
            <w:rFonts w:ascii="Calibri" w:hAnsi="Calibri" w:cs="Calibri"/>
            <w:color w:val="0000FF"/>
          </w:rPr>
          <w:t>закона</w:t>
        </w:r>
      </w:hyperlink>
      <w:r>
        <w:rPr>
          <w:rFonts w:ascii="Calibri" w:hAnsi="Calibri" w:cs="Calibri"/>
        </w:rPr>
        <w:t xml:space="preserve"> "О концессионных соглашениях" и других нормативных актов.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Основу правового регулирования государственно-частного партнерства на региональном уровне составляют законы о ГЧП, принятые на данный момент в большинстве субъектов РФ. Наличие регионального закона о государственно-частном партнерстве, с одной стороны, предоставляет возможность создания более привлекательных для инвестора условий реализации проекта и позволяет региону успешно конкурировать с другими субъектами РФ в процессе привлечения частных средств в общественную инфраструктуру. В то же время, положения регионального нормативного акта о ГЧП не должны носить исключительно декларативный характер, поскольку для инвестора решающее значение при принятии решения о вложении собственных или привлеченных средств имеет наличие четких и прозрачных правовых рамок, устанавливающих гарантии защиты его прав и минимизации возможных рисков.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Смоленской области на данный момент не разработана единая система взаимосвязанных нормативных актов, регламентирующих отношения в сфере государственно-частного партнерства, в том числе отсутствует региональный закон об участии Смоленской области в проектах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Отдельные вопросы ГЧП затрагиваются, в частности, в </w:t>
      </w:r>
      <w:hyperlink r:id="rId119" w:history="1">
        <w:r>
          <w:rPr>
            <w:rFonts w:ascii="Calibri" w:hAnsi="Calibri" w:cs="Calibri"/>
            <w:color w:val="0000FF"/>
          </w:rPr>
          <w:t>законе</w:t>
        </w:r>
      </w:hyperlink>
      <w:r>
        <w:rPr>
          <w:rFonts w:ascii="Calibri" w:hAnsi="Calibri" w:cs="Calibri"/>
        </w:rPr>
        <w:t xml:space="preserve"> Смоленской области от 30.05.2013 N 48-з "Об инвестиционном фонде Смоленской области", предусматривающем направление части средств областного бюджета Смоленской области на цели реализации инвестиционных проектов, осуществляемых на принципах ГЧП. Применение механизмов ГЧП для достижения целей развития отдельных отраслей экономики региона предусмотрено в следующих документах программного характера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программа "Развитие здравоохранения в Смоленской области" (</w:t>
      </w:r>
      <w:hyperlink r:id="rId120" w:history="1">
        <w:r>
          <w:rPr>
            <w:rFonts w:ascii="Calibri" w:hAnsi="Calibri" w:cs="Calibri"/>
            <w:color w:val="0000FF"/>
          </w:rPr>
          <w:t>подпрограмма 3</w:t>
        </w:r>
      </w:hyperlink>
      <w:r>
        <w:rPr>
          <w:rFonts w:ascii="Calibri" w:hAnsi="Calibri" w:cs="Calibri"/>
        </w:rPr>
        <w:t xml:space="preserve"> "Развитие государственно-частного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региональная целевая </w:t>
      </w:r>
      <w:hyperlink r:id="rId121" w:history="1">
        <w:r>
          <w:rPr>
            <w:rFonts w:ascii="Calibri" w:hAnsi="Calibri" w:cs="Calibri"/>
            <w:color w:val="0000FF"/>
          </w:rPr>
          <w:t>программа</w:t>
        </w:r>
      </w:hyperlink>
      <w:r>
        <w:rPr>
          <w:rFonts w:ascii="Calibri" w:hAnsi="Calibri" w:cs="Calibri"/>
        </w:rPr>
        <w:t xml:space="preserve"> "Развитие жилищного строительства в Смоленской области" на 2011 - 2015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государственная </w:t>
      </w:r>
      <w:hyperlink r:id="rId122" w:history="1">
        <w:r>
          <w:rPr>
            <w:rFonts w:ascii="Calibri" w:hAnsi="Calibri" w:cs="Calibri"/>
            <w:color w:val="0000FF"/>
          </w:rPr>
          <w:t>программа</w:t>
        </w:r>
      </w:hyperlink>
      <w:r>
        <w:rPr>
          <w:rFonts w:ascii="Calibri" w:hAnsi="Calibri" w:cs="Calibri"/>
        </w:rPr>
        <w:t xml:space="preserve"> "Лесное хозяйство и животный мир Смоленской области" на 2014 - 2020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государственная </w:t>
      </w:r>
      <w:hyperlink r:id="rId123" w:history="1">
        <w:r>
          <w:rPr>
            <w:rFonts w:ascii="Calibri" w:hAnsi="Calibri" w:cs="Calibri"/>
            <w:color w:val="0000FF"/>
          </w:rPr>
          <w:t>программа</w:t>
        </w:r>
      </w:hyperlink>
      <w:r>
        <w:rPr>
          <w:rFonts w:ascii="Calibri" w:hAnsi="Calibri" w:cs="Calibri"/>
        </w:rPr>
        <w:t xml:space="preserve"> "Внедрение спутниковых навигационных технологий с использованием системы ГЛОНАСС в интересах социально-экономического развития Смоленской области" на 2014 - 2016 годы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условиях ГЧП в Смоленской области реализуется региональный инвестиционный проект "Реконструкция и расширение ОАО "Игоревский деревообрабатывающий комбинат". Строительство завода древесноволокнистых плит (MDF). Развитие инфраструктуры в муниципальном образовании "Холм-Жирковский район" Смоленской области. 6 октября 2014 года ОАО "Игоревский деревообрабатывающий комбинат" в соответствии с решением внеочередного общего собрания ОАО "Игоревский деревообрабатывающий комбинат" преобразовано в ООО "Игоревский деревообрабатывающий комбинат".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проект реализуется с привлечением государственной поддержки за счет средств Инвестиционного фонда Российской Федерации и направлен на создание и развитие производства древесноволокнистых плит средней плотности для мебельного производства, производства паркета и стеновых панелей, а также создание и развитие объектов транспортной, коммунальной и энергетической инфраструктуры в муниципальном образовании "Холм-Жирковский район"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инвестиционного проекта составляет 8680,52 млн. руб., в том числе: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собственные и заемные средства инвестора - ООО "Игоревский деревообрабатывающий комбинат" - 7830,49 млн.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средства бюджета Смоленской области - 187,01 млн.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средства Инвестиционного фонда РФ, предоставляемые в форме субсидий бюджету субъекта РФ на софинансирование объектов капитального строительства собственности субъекта РФ, - 63,02 млн.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ходе реализации рассматриваемого инвестиционного проекта за счет средств Инвестиционного фонда Российской Федерации и регионального бюджета Смоленской области осуществлено строительство, реконструкция и капитальный ремонт объектов коммунальной и транспортной инфраструктуры, в том числе: проведена газификация жилой зоны ст. Игоревской Холм-Жирковского района, построена подстанция, осуществлена реконструкция водозабора, очистных сооружений хозяйственно-бытовых сточных вод, проведен капитальный ремонт участка автодороги в направлении районного центра.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ООО "Игоревский деревообрабатывающий комбинат" в рамках проекта выполнило ряд работ по реконструкции и расширению комбината. В целях дальнейшей реализации регионального инвестиционного проекта Сбербанк России и ООО "Игоревский деревообрабатывающий комбинат" 12 ноября 2014 года заключили Генеральное соглашение N 01960014/41012200 об открытии невозобновляемой рамочной кредитной линии с лимитом 3,36 млрд. рублей.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строительства завода МДФ плит будет организовано производство широкого ассортимента МДФ плит, а именно плиты толщиной от 3 до 40 мм. На ООО "Игоревский деревообрабатывающий комбинат" будет установлено современное, высокотехнологическое, ресурсосберегающее оборудование немецкой фирмы "Siempelkamp", мощностью 396 тыс. м3 МДФ плит в год, в результате предприятие станет одним из крупнейших производителей МДФ плит в России.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реализации регионального инвестиционного проекта на ООО "ИДК" будет создано 202 новых рабочих места, в том числе: основной персонал - 140 человек, ИТР - 14 человек, прочие - 48 человек. Кроме этого, реализация проекта повлечет за собой создание дополнительных рабочих мест на лесозаготовках. Таким образом, социальная эффективность в целом выражается в создании порядка 560 рабочих мест.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проект может быть отнесен к проектам государственно-частного партнерства в широком смысле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Смоленской области важно сосредоточиться на развитии инструментов для расширения практики применения контрактных схем ГЧП, где важным и необходимым шагом, направленным на совершенствование государственной политики развития ГЧП на территории Смоленской области, должно стать совершенствование нормативной правовой базы, включая принятие закона Смоленской области об участии в реализации проектов государственно-частного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указанного закона позволит создать четкую правовую основу для осуществления проектов ГЧП в Смоленской области, определить цели, принципы, условия и формы участия Смоленской области в проектах ГЧП, закрепить возможные механизмы привлечения средств частных инвесторов и определить круг, функции и полномочия ответственных лиц, выступающих в отношениях ГЧП на стороне публичного партнера, а также будет способствовать дальнейшему развитию специализированной системы управления проектами ГЧП, включая систему законодательных и подзаконных нормативных актов, региональные программы (в части включения в них проектов ГЧП) и методические материалы.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7" w:name="Par4477"/>
      <w:bookmarkEnd w:id="177"/>
      <w:r>
        <w:rPr>
          <w:rFonts w:ascii="Calibri" w:hAnsi="Calibri" w:cs="Calibri"/>
        </w:rPr>
        <w:t>Процедура запуска и реализации проектов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государственно-частного партнерства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реализации проектов ГЧП на региональном уровне должна включать в себя следующие этапы.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Инициацию и отбор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данном этапе осуществляется: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сбор предложений о реализации проектов ГЧП от органов государственной власти или частных компаний;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оценка потенциальной возможности реализации проекта на условиях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концепции проекта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 показателей и бюджетной эффективности проекта в соответствии с действующими в регионе программами развития соответствующего комплекса, в рамках которого планируется реализация проекта (транспорт, социальная сфера, ЖКХ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документации по проекту.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Оценку и структурирование проекта, включая: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 характеристик проекта (финансово-экономических, правовых, экологических, технологических);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разработку договорной модели ГЧП-проекта;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возможных вариантов участия Смоленской области в реализации проекта, в том числе формы оказываемой поддержки (выделение земельного участка, предоставление гарантий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оценку и распределение рисков между партнерами;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разработку схемы финансирования (на предпроектном этапе и этапе реализации проекта) и распределения доходов.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и структурирование проекта ГЧП являются достаточно сложным этапом, требующим наличия специальных знаний и практического опыта. Как показывает практика осуществления проектов ГЧП в других регионах, для успешной реализации указанного комплекса работ целесообразно привлекать независимых экспертов, обладающих необходимым уровнем квалификации.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Разработку проекта соглашения о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Поиск и проведение предварительных переговоров с потенциальными инвесторами.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инициатором проекта выступает публичная сторона, необходимо провести предварительный поиск потенциальных инвесторов, организовать обсуждение порядка и условий их участия в реализации инвестиционного проекта. Это позволит выявить заинтересованность и актуальность проекта для инвесторов и устранить риск того, что в дальнейшем конкурс по отбору инвесторов будет признан несостоявшимся в связи с тем, что на него не подано ни одной заявки.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Проведение конкурсных процедур и отбор частного партнера для реализации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данной стадии осуществляются: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конкурсной документации (с учетом проведенных переговоров и согласований с потенциальными инвесторами);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информирование о проведении конкурса, в том числе подготовка презентационных материалов для инвесторов и размещение информационных сообщений в СМИ;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конкурсного отбора частного инвестора.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Заключение соглашения о ГЧП с победителем конкурсного отбора.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Реализацию ГЧП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Мониторинг и контроль за выполнением сторонами условий соглашения о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успешной и эффективной реализации проектов ГЧП в структуре государственной власти субъекта РФ должны быть определены органы, ответственные за выполнение следующих функций: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инициацию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подготовку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утверждение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контроль реализации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8" w:name="Par4512"/>
      <w:bookmarkEnd w:id="178"/>
      <w:r>
        <w:rPr>
          <w:rFonts w:ascii="Calibri" w:hAnsi="Calibri" w:cs="Calibri"/>
        </w:rPr>
        <w:t>Инициация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Инициаторами проектов могут выступать: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органы государственной власти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органы местного самоуправления;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частные компании - потенциальные инвесторы, заинтересованные в участии в реализации инвестиционного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79" w:name="Par4519"/>
      <w:bookmarkEnd w:id="179"/>
      <w:r>
        <w:rPr>
          <w:rFonts w:ascii="Calibri" w:hAnsi="Calibri" w:cs="Calibri"/>
        </w:rPr>
        <w:t>Подготовка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Функции по сопровождению проектов ГЧП, включающие выявление и оценку проектов, их структурирование, проведение конкурсов по отбору частных инвесторов, а также контроль и мониторинг хода реализации проектов, могут осуществляться органами исполнительной власти Смоленской области в зависимости от отраслевой принадлежности реализуемого проекта, в частности: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Департаментом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Департаментом Смоленской области по социальному развитию;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Департаментом Смоленской области по строительству и жилищно-коммунальному хозяйству;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Департаментом Смоленской области по промышленности, транспорту и дорожному хозяйству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использования указанного механизма сопровождения проектов ГЧП необходимо внести ряд изменений и дополнений в действующие нормативные акты, в т.ч.:</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внести изменения в нормативные акты Смоленской области, которыми утверждены положения об отраслевых органах исполнительной власти, в целях отражения в них соответствующих функций в сфере сопровождения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разработать и принять порядок представления предложений о разработке проектов ГЧП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утвердить порядок разработки паспорта проекта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выполнению функций по сопровождению проектов ГЧП могут также привлекаться другие органы власти Смоленской области в рамках формирования межведомственных комиссий по вопросам государственно-частного партнерства. Данный вариант целесообразно применять в случае отсутствия у отраслевого департамента необходимого уровня компетенции и опыта в сфере оценки, структурирования проектов или отбора инвесторов. В состав межведомственной комиссии могут входить представители следующих структур: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отраслевого департамента;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Департамента бюджета и финансов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Департамента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Департамента государственного строительного и технического надзора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представители Смоленской областной Думы;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частных экспертных организаций.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наиболее оптимальной модели организации процесса подготовки проектов ГЧП также целесообразно привлекать независимых консультантов, в том числе для выполнения следующих видов работ: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анализа полномочий и сфер ответственности органов государственной власти Смоленской области в сфере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анализа действующей нормативной базы Смоленской области, оценки необходимости внесения изменений и дополнений в действующее законодательство, подготовки соответствующих проектов нормативных правовых актов;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подготовки рекомендаций относительно механизма реализации проектов государственно-частного партнерства в регионе.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80" w:name="Par4542"/>
      <w:bookmarkEnd w:id="180"/>
      <w:r>
        <w:rPr>
          <w:rFonts w:ascii="Calibri" w:hAnsi="Calibri" w:cs="Calibri"/>
        </w:rPr>
        <w:t>Утверждение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Предложения о разработке и реализации проектов ГЧП, поступившие от ответственных органов государственной власти Смоленской области, органов местного самоуправления или частных инвесторов, должны передаваться в уполномоченный орган в сфере инвестиционной деятельности - 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в составе данного департамента образована Комиссия по инвестиционной политике, которая выполняет некоторые функции в сфере ГЧП, в частности, утверждает планы мероприятий по развитию ГЧП и осуществляет контроль за их исполнением, а также рассматривает результаты реализации в Смоленской области государственной политики развития государственно-частного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Поступившие в Комиссию по инвестиционной политике предложения необходимо передавать на рассмотрение Координационного совета по вопросам государственно-частного партнерства Смоленской области (далее - Координационный совет). Данный орган должен быть создан в целях обеспечения координации и взаимодействия между органами государственной власти Смоленской области, органами местного самоуправления и инвесторами.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утверждения Координационным советом предложения о разработке проекта ГЧП отраслевой департамент Смоленской области (по поручению Координационного совета) разрабатывает паспорт проекта ГЧП, конкурсную документацию, а также проект соглашения о ГЧП, которые также подлежат утверждению Координационным советом.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Одобренный таким образом проект ГЧП утверждается Администрацией Смоленской области. В том числе, решением Администрации Смоленской области утверждаются: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паспорт проекта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конкурсная документация;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возможные формы участия Смоленской области в реализации проекта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состав комиссии по отбору частного инвестора;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ответственный исполнитель - орган власти Смоленской области, выступающий заказчиком в рамках проекта и стороной соглашения о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использования рассмотренного механизма утверждения проектов ГЧП необходимо: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внести изменения в положение о Комиссии по инвестиционной политике при Администрации Смоленской области в части уточнения ее функций в сфере реализации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разработать и принять положение о Координационном совете по вопросам государственно-частного партнерства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внести изменения в Устав Смоленской области в целях уточнения функций Администрации Смоленской области при принятии решений об утверждении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81" w:name="Par4559"/>
      <w:bookmarkEnd w:id="181"/>
      <w:r>
        <w:rPr>
          <w:rFonts w:ascii="Calibri" w:hAnsi="Calibri" w:cs="Calibri"/>
        </w:rPr>
        <w:t>Контроль и мониторинг реализации проектов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осуществления контроля и мониторинга за выполнением публичной стороной положений соглашения о ГЧП предполагает: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профильного ведомства, ответственного за осуществление мониторинга и контроля за выполнением соглашения о ГЧП, достижением плановых показателей;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мониторинг и управление рисками, закрепленными за публичным партнером в соответствии с соглашением;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согласование и внесение изменений и корректировок в соглашение о ГЧП, его досрочное прекращение.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Общий контроль за реализацией частным партнером условий соглашения о ГЧП осуществляется ответственным исполнителем, утвержденным решением Администрации Смоленской области, в течение всего срока реализации проекта ГЧП. Для осуществления контроля за использованием по назначению и сохранностью государственного имущества Смоленской области соответствующие функции должны быть предоставлены Департаменту имущественных и земельных отношений Смоленской области, а также органам местного самоуправления Смоленской области в части контроля за использованием и сохранностью муниципального имущества, предоставленного для целей реализации проекта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Возможные формы реализации проектов ГЧП в зависимости от вида объекта инфраструктуры. Примеры успешных практик реализации проектов ГЧП на региональном уровне.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Объектами соглашения о государственно-частном партнерстве могут выступать, среди прочего: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Объекты транспортной инфраструктуры, включая: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автомобильные дороги, мосты, развязки (в частности, платные дороги, обходы городов, железнодорожные переезды и парковки);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железные дороги;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порты (речные и морские);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аэродромы, в том числе производственную и инженерную инфраструктуру;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метрополитен;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иные виды транспорта общего пользования.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Объекты социальной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здравоохранение (поликлиники, больницы, специализированные центры (кардио-, онко-) медицинские комплексы, медицинские города);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образование (объекты дошкольного образования, спортивные комплексы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Водоснабжение и ТБО: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водоснабжение и водоотведение;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утилизация бытовых отходов.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Энергоснабжение (тепло-, электро-):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системы коммунального теплоснабжения;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генерации.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82" w:name="Par4585"/>
      <w:bookmarkEnd w:id="182"/>
      <w:r>
        <w:rPr>
          <w:rFonts w:ascii="Calibri" w:hAnsi="Calibri" w:cs="Calibri"/>
        </w:rPr>
        <w:t>Формы ГЧП в сфере транспортной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дальнейшее развитие транспортной инфраструктуры являются одним из приоритетных направлений экономического развития РФ в целом и отдельных субъектов РФ в частности. Однако на данный момент ситуация в транспортной сфере далека от идеальной и не отвечает существующим потребностям и перспективам развития, в том числе в связи с ограниченными объемами государственного финансирования. В связи с этим, государство заинтересовано в развитии рыночных отношений в сфере транспорта в привлечении инвесторов к реализации комплексных инфраструктурных проектов в данной области, в том числе на условиях ГЧП. Наиболее распространенными формами ГЧП в транспортной сфере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концессия;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контракт жизненного цикла (КЖЦ).</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Возможно также применение подряда под ключ с рассрочкой платежа.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183" w:name="Par4592"/>
      <w:bookmarkEnd w:id="183"/>
      <w:r>
        <w:rPr>
          <w:rFonts w:ascii="Calibri" w:hAnsi="Calibri" w:cs="Calibri"/>
        </w:rPr>
        <w:t>Концессионное соглашение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Отношения, связанные с подготовкой, заключением, исполнением и прекращением концессионных соглашений, регулируются положениями Федерального </w:t>
      </w:r>
      <w:hyperlink r:id="rId124" w:history="1">
        <w:r>
          <w:rPr>
            <w:rFonts w:ascii="Calibri" w:hAnsi="Calibri" w:cs="Calibri"/>
            <w:color w:val="0000FF"/>
          </w:rPr>
          <w:t>закона</w:t>
        </w:r>
      </w:hyperlink>
      <w:r>
        <w:rPr>
          <w:rFonts w:ascii="Calibri" w:hAnsi="Calibri" w:cs="Calibri"/>
        </w:rPr>
        <w:t xml:space="preserve"> от 21.07.2005 N 115-ФЗ "О концессионных соглашениях". По концессионному соглашению одна сторона - концессионер (частный инвестор) обязуется: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 свой счет создать и (или) реконструировать определенное этим соглашением имущество, право собственности на которое принадлежит или будет принадлежать другой стороне (концеденту);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осуществлять деятельность с использованием (эксплуатацией) объекта концессионного соглашения.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Концедент (публичный партнер) в соответствии с концессионным соглашением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деятельности по использованию (эксплуатации) объекта концессионного соглашения. Объектами концессионного соглашения могут являться, в том числе: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автомобильные дороги или участки автомобильных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защитные дорожные сооружения;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искусственные дорожные сооружения;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производственные объекты, используемые при капитальном ремонте, ремонте, содержании автомобильных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элементы обустройства автомобильных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предназначенные для взимания платы (в том числе пункты взимания платы);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дорожного сервиса;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железнодорожного транспорта;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трубопроводного транспорта;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морские и речные порты, в том числе искусственные земельные участки, гидротехнические сооружения портов, объекты их производственной и инженерной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морские и речные суда, суда смешанного (река - море) плавания, а также суда, осуществляющие ледокольную проводку, гидрографическую, научно-исследовательскую деятельность, паромные переправы, плавучие и сухие доки;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аэродромы или здания и (или) сооружения, предназначенные для взлета, посадки, руления и стоянки воздушных судов, а также создаваемые и предназначенные для организации полетов гражданских воздушных судов авиационная инфраструктура и средства обслуживания воздушного движения, навигации, посадки и связи;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производственной и инженерной инфраструктур аэропортов;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метрополитен и другой транспорт общего пользования.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Существует три формы концессии в зависимости от того, каким образом окупаются затраты инвестора: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затраты концессионера окупаются за счет сбора платы с пользователей объекта концессионного соглашения;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концессионер окупает инвестиции за счет платы, взимаемой с пользователей, но если спрос за расчетный период ниже установленного в соглашении, концедент компенсирует инвестору разницу в сборах;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концессионер получает плату от концедента.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Законом предусмотрена возможность использования механизма концессии "с платой за доступность" в отношении объектов дорожной инфраструктуры. Суть данной концессионной формы ГЧП заключается в следующем: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частный партнер (концессионер) осуществляет за счет собственных или привлеченных средств проектирование, строительство и сдачу объекта в эксплуатацию;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период эксплуатации объекта концессионного соглашения инвестор оказывает услуги потребителям с использованием созданного объекта;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концедент расплачивается с частным партнером за оказанные потребителям услуги со дня начала эксплуатации объекта;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частный партнер получает платежи в соответствии с условиями соглашения в течение всего срока действия концессии.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концедент платит не за создание объекта, а за его эксплуатацию в соответствии с принципом "нет услуг - нет оплаты". Механизм концессии "с платой за доступность" применяется к следующим объектам дорожной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автомобильным дорогам, участкам автомобильных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защитным дорожным сооружениям;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производственным объектам, используемым при капитальном ремонте, содержании автомобильных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элементам обустройства автомобильных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объектам, предназначенным для взимания платы;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объектам дорожного сервиса.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 организации взаимодействия участников ГЧП в рамках концессионного соглашения представлен на схеме ниже.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26" type="#_x0000_t75" style="width:385.5pt;height:156pt">
            <v:imagedata r:id="rId125" o:title=""/>
          </v:shape>
        </w:pic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27" type="#_x0000_t75" style="width:18.75pt;height:6pt">
            <v:imagedata r:id="rId126" o:title=""/>
          </v:shape>
        </w:pict>
      </w:r>
      <w:r w:rsidR="00703D06">
        <w:rPr>
          <w:rFonts w:ascii="Calibri" w:hAnsi="Calibri" w:cs="Calibri"/>
        </w:rPr>
        <w:t xml:space="preserve"> - 1 этап - подготовка к конкурсу;</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28" type="#_x0000_t75" style="width:19.5pt;height:6pt">
            <v:imagedata r:id="rId127" o:title=""/>
          </v:shape>
        </w:pict>
      </w:r>
      <w:r w:rsidR="00703D06">
        <w:rPr>
          <w:rFonts w:ascii="Calibri" w:hAnsi="Calibri" w:cs="Calibri"/>
        </w:rPr>
        <w:t xml:space="preserve"> - 2 этап - проведение конкурса, заключение контракта;</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29" type="#_x0000_t75" style="width:18.75pt;height:6pt">
            <v:imagedata r:id="rId128" o:title=""/>
          </v:shape>
        </w:pict>
      </w:r>
      <w:r w:rsidR="00703D06">
        <w:rPr>
          <w:rFonts w:ascii="Calibri" w:hAnsi="Calibri" w:cs="Calibri"/>
        </w:rPr>
        <w:t xml:space="preserve"> - 3 этап - строительство объекта и передача прав концеденту;</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30" type="#_x0000_t75" style="width:19.5pt;height:9pt">
            <v:imagedata r:id="rId129" o:title=""/>
          </v:shape>
        </w:pict>
      </w:r>
      <w:r w:rsidR="00703D06">
        <w:rPr>
          <w:rFonts w:ascii="Calibri" w:hAnsi="Calibri" w:cs="Calibri"/>
        </w:rPr>
        <w:t xml:space="preserve"> - 4 - эксплуатация объекта концессионером.</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Одним из значимых проектов ГЧП в транспортной отрасли является строительство автомобильной дороги Западный скоростной диаметр (ЗСД) на основании соглашения между Правительством Санкт-Петербурга и ОАО "Западный скоростной диаметр" (2011 г.). В 2012 г. были подписаны акт о достижении финансового закрытия; обновленная редакция Соглашения о создании и эксплуатации на основе государственно-частного партнерства автомобильной дороги ЗСД; договор подряда с ICA Astaldi-IC </w:t>
      </w:r>
      <w:r w:rsidR="00427D1E" w:rsidRPr="00427D1E">
        <w:rPr>
          <w:rFonts w:ascii="Calibri" w:hAnsi="Calibri" w:cs="Calibri"/>
          <w:position w:val="-6"/>
        </w:rPr>
        <w:pict>
          <v:shape id="_x0000_i1031" type="#_x0000_t75" style="width:29.25pt;height:17.25pt">
            <v:imagedata r:id="rId130" o:title=""/>
          </v:shape>
        </w:pict>
      </w:r>
      <w:r>
        <w:rPr>
          <w:rFonts w:ascii="Calibri" w:hAnsi="Calibri" w:cs="Calibri"/>
        </w:rPr>
        <w:t xml:space="preserve"> WHSD </w:t>
      </w:r>
      <w:r w:rsidR="00427D1E" w:rsidRPr="00427D1E">
        <w:rPr>
          <w:rFonts w:ascii="Calibri" w:hAnsi="Calibri" w:cs="Calibri"/>
          <w:position w:val="-6"/>
        </w:rPr>
        <w:pict>
          <v:shape id="_x0000_i1032" type="#_x0000_t75" style="width:36pt;height:17.25pt">
            <v:imagedata r:id="rId131" o:title=""/>
          </v:shape>
        </w:pict>
      </w:r>
      <w:r>
        <w:rPr>
          <w:rFonts w:ascii="Calibri" w:hAnsi="Calibri" w:cs="Calibri"/>
        </w:rPr>
        <w:t xml:space="preserve"> Anonim </w:t>
      </w:r>
      <w:r w:rsidR="00427D1E" w:rsidRPr="00427D1E">
        <w:rPr>
          <w:rFonts w:ascii="Calibri" w:hAnsi="Calibri" w:cs="Calibri"/>
          <w:position w:val="-6"/>
        </w:rPr>
        <w:pict>
          <v:shape id="_x0000_i1033" type="#_x0000_t75" style="width:39pt;height:17.25pt">
            <v:imagedata r:id="rId132" o:title=""/>
          </v:shape>
        </w:pict>
      </w:r>
      <w:r>
        <w:rPr>
          <w:rFonts w:ascii="Calibri" w:hAnsi="Calibri" w:cs="Calibri"/>
        </w:rPr>
        <w:t xml:space="preserve"> (совместным объединением компаний Astaldi, IC </w:t>
      </w:r>
      <w:r w:rsidR="00427D1E" w:rsidRPr="00427D1E">
        <w:rPr>
          <w:rFonts w:ascii="Calibri" w:hAnsi="Calibri" w:cs="Calibri"/>
          <w:position w:val="-6"/>
        </w:rPr>
        <w:pict>
          <v:shape id="_x0000_i1034" type="#_x0000_t75" style="width:29.25pt;height:17.25pt">
            <v:imagedata r:id="rId133" o:title=""/>
          </v:shape>
        </w:pict>
      </w:r>
      <w:r>
        <w:rPr>
          <w:rFonts w:ascii="Calibri" w:hAnsi="Calibri" w:cs="Calibri"/>
        </w:rPr>
        <w:t xml:space="preserve"> </w:t>
      </w:r>
      <w:r w:rsidR="00427D1E" w:rsidRPr="00427D1E">
        <w:rPr>
          <w:rFonts w:ascii="Calibri" w:hAnsi="Calibri" w:cs="Calibri"/>
          <w:position w:val="-6"/>
        </w:rPr>
        <w:pict>
          <v:shape id="_x0000_i1035" type="#_x0000_t75" style="width:36pt;height:17.25pt">
            <v:imagedata r:id="rId134" o:title=""/>
          </v:shape>
        </w:pict>
      </w:r>
      <w:r>
        <w:rPr>
          <w:rFonts w:ascii="Calibri" w:hAnsi="Calibri" w:cs="Calibri"/>
        </w:rPr>
        <w:t xml:space="preserve"> и Mega Yapi) и ряд документов, необходимых для получения доступа к финансированию, в том числе, обновленная редакция Кредитного соглашения. В настоящее время Соглашение о создании и эксплуатации на основе государственно-частного партнерства автомобильной дороги "Западный скоростной диаметр", заключенное между Санкт-Петербургом и ОАО "Западный скоростной диаметр", реализуется консорциумом "Магистраль северной столицы", в который входят ВТБ Капитал, Газпромбанк, компании Astaldi (Италия) и </w:t>
      </w:r>
      <w:r w:rsidR="00427D1E" w:rsidRPr="00427D1E">
        <w:rPr>
          <w:rFonts w:ascii="Calibri" w:hAnsi="Calibri" w:cs="Calibri"/>
          <w:position w:val="-6"/>
        </w:rPr>
        <w:pict>
          <v:shape id="_x0000_i1036" type="#_x0000_t75" style="width:29.25pt;height:17.25pt">
            <v:imagedata r:id="rId135" o:title=""/>
          </v:shape>
        </w:pict>
      </w:r>
      <w:r>
        <w:rPr>
          <w:rFonts w:ascii="Calibri" w:hAnsi="Calibri" w:cs="Calibri"/>
        </w:rPr>
        <w:t xml:space="preserve"> </w:t>
      </w:r>
      <w:r w:rsidR="00427D1E" w:rsidRPr="00427D1E">
        <w:rPr>
          <w:rFonts w:ascii="Calibri" w:hAnsi="Calibri" w:cs="Calibri"/>
          <w:position w:val="-6"/>
        </w:rPr>
        <w:pict>
          <v:shape id="_x0000_i1037" type="#_x0000_t75" style="width:36pt;height:17.25pt">
            <v:imagedata r:id="rId136" o:title=""/>
          </v:shape>
        </w:pict>
      </w:r>
      <w:r>
        <w:rPr>
          <w:rFonts w:ascii="Calibri" w:hAnsi="Calibri" w:cs="Calibri"/>
        </w:rPr>
        <w:t xml:space="preserve"> (Турция) в качестве подрядчиков строительства и Mega Yapi </w:t>
      </w:r>
      <w:r w:rsidR="00427D1E" w:rsidRPr="00427D1E">
        <w:rPr>
          <w:rFonts w:ascii="Calibri" w:hAnsi="Calibri" w:cs="Calibri"/>
          <w:position w:val="-6"/>
        </w:rPr>
        <w:pict>
          <v:shape id="_x0000_i1038" type="#_x0000_t75" style="width:40.5pt;height:17.25pt">
            <v:imagedata r:id="rId137" o:title=""/>
          </v:shape>
        </w:pict>
      </w:r>
      <w:r>
        <w:rPr>
          <w:rFonts w:ascii="Calibri" w:hAnsi="Calibri" w:cs="Calibri"/>
        </w:rPr>
        <w:t xml:space="preserve"> ve Ticaret (Турция) - технический консультант подрядчиков.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соглашением о ГЧП инвестор привлекает финансирование на строительство Центрального участка Западного скоростного диаметра и получает право на эксплуатацию всей магистрали в концессию на 30 лет. Правительство Санкт-Петербурга гарантирует минимальный доход от эксплуатации автомобильной дороги в размере 9,6 млрд. руб. в год. Если годовая выручка проекта будет превышать эту сумму, то ОАО "Магистраль северной столицы" выплатит Правительству Санкт-Петербурга 90% разницы.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184" w:name="Par4640"/>
      <w:bookmarkEnd w:id="184"/>
      <w:r>
        <w:rPr>
          <w:rFonts w:ascii="Calibri" w:hAnsi="Calibri" w:cs="Calibri"/>
        </w:rPr>
        <w:t>Контракт жизненного цикла (КЖЦ)</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Данная схема предполагает, что инвестор осуществляет работы по проектированию, строительству, финансированию и эксплуатации объекта соглашения в течение всего срока действия контракта, при этом платежи частному партнеру поставлены в прямую зависимость от соблюдения качественных требований к объекту.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КЖЦ государство и инвестор по результатам единого конкурса заключают контракт на проектирование, строительство и эксплуатацию объекта; государство определяет качественно-функциональные характеристики объекта, а инвестор обязуется за собственные средства спроектировать и построить объект, а также в течение установленного контрактом срока эксплуатирует объект в соответствии с заданными параметрами. Инвестор получает средства от государства с момента ввода объекта в эксплуатацию, а их объем зависит от того, насколько качественно частный партнер исполнил свои обязательства.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Контракты жизненного цикла также могут заключаться в рамках контрактной системы при осуществлении закупок товаров, работ, услуг для обеспечения государственных и муниципальных нужд. КЖЦ предусматривает закупку товаров, оплату работ, обслуживание, ремонт и эксплуатацию на протяжении срока службы, а также, при необходимости, последующую утилизацию товара или созданного объекта.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Особенности взаимодействия участников государственно-частного партнерства в рамках контракта жизненного цикла представлены на схеме ниже.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39" type="#_x0000_t75" style="width:393.75pt;height:165.75pt">
            <v:imagedata r:id="rId138" o:title=""/>
          </v:shape>
        </w:pic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Модель КЖЦ применяется в настоящее время в Москве при реализации проектов в сфере развития Московского метрополитена. В частности, в 2013 году был заключен сервисный контракт на обслуживание в течение жизненного цикла вагонов Калининской линии Московского метрополитена. Также в Москве был проведен конкурс на поставку вагонов метро на Серпуховско-Тимирязевскую и Калининско-Солнцевскую линии московского метрополитена в 2014 - 2017 годах, включая поставку подвижного состава и его последующее обслуживание. Проект реализуется на основании трехстороннего контракта между Московским метрополитеном, компанией-производителем и лизинговой компанией. В соответствии с условиями соглашения метрополитен, в частности, возмещает ежемесячные платежи за использование подвижного состав и сервис, а также предоставляет доступ к помещениям депо для осуществления сервисных работ. Компания-производитель осуществляет производство подвижного состава, обеспечивает его готовность, обслуживает вагоны в течение 30 лет, получает платежи за сервис. Лизинговая компания финансирует производителя и получает плату от метрополитена за использование подвижного состава в течение 15 лет, после чего передает подвижной состав метрополитену.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85" w:name="Par4651"/>
      <w:bookmarkEnd w:id="185"/>
      <w:r>
        <w:rPr>
          <w:rFonts w:ascii="Calibri" w:hAnsi="Calibri" w:cs="Calibri"/>
        </w:rPr>
        <w:t>Формы ГЧП в социальной сфере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России социальная сфера в течение длительного периода времени являлась объектом прямого государственного управления и на сегодняшний день испытывает острую потребность в различного рода ресурсах для дальнейшего развития и достижения задач социально-экономического развития. Это предполагает необходимость привлечения дополнительного финансирования в сферу здравоохранения, образования и социального обслуживания, а также применения современных и эффективных методов управления соответствующими отраслями и внедрения наиболее передовых технологий в целях улучшения качества оказываемых потребителям услуг. Решение указанных задач зачастую возможно только посредством привлечения финансовых средств и иных ресурсов, имеющихся в распоряжении частных инвесторов, на основе механизмов государственно-частного партнерства. К числу основных моделей ГЧП, применимых при реализации проектов в социальной сфере,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обратная аренда (BOLT);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концессионное соглашение;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подряд под ключ с рассрочкой платежа.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186" w:name="Par4658"/>
      <w:bookmarkEnd w:id="186"/>
      <w:r>
        <w:rPr>
          <w:rFonts w:ascii="Calibri" w:hAnsi="Calibri" w:cs="Calibri"/>
        </w:rPr>
        <w:t>Обратная аренда (BOLT)</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механизма BOLT (build-own-lease-transfer/строительство - владение - аренда - передача) отобранный регионом (муниципалитетом) на конкурсной основе инвестор строит объект на представленном ему земельном участке за счет собственных и (или) заемных средств, сдает его в аренду заранее определенному лицу (профессионально занимающемуся эксплуатацией или использованием такого рода объектов). После того, как за счет арендных платежей инвестиции окупятся с определенной нормой доходности, он передает право собственности на объект муниципальному образованию.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 организации взаимодействия участников государственно-частного партнерства в рамках схемы BOLT представлен на следующей схеме.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40" type="#_x0000_t75" style="width:384pt;height:150pt">
            <v:imagedata r:id="rId139" o:title=""/>
          </v:shape>
        </w:pic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41" type="#_x0000_t75" style="width:18.75pt;height:6pt">
            <v:imagedata r:id="rId126" o:title=""/>
          </v:shape>
        </w:pict>
      </w:r>
      <w:r w:rsidR="00703D06">
        <w:rPr>
          <w:rFonts w:ascii="Calibri" w:hAnsi="Calibri" w:cs="Calibri"/>
        </w:rPr>
        <w:t xml:space="preserve"> - 1 этап - подготовка к конкурсу;</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42" type="#_x0000_t75" style="width:19.5pt;height:6pt">
            <v:imagedata r:id="rId127" o:title=""/>
          </v:shape>
        </w:pict>
      </w:r>
      <w:r w:rsidR="00703D06">
        <w:rPr>
          <w:rFonts w:ascii="Calibri" w:hAnsi="Calibri" w:cs="Calibri"/>
        </w:rPr>
        <w:t xml:space="preserve"> - 2 этап - проведение конкурса, заключение контракта;</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43" type="#_x0000_t75" style="width:18.75pt;height:6pt">
            <v:imagedata r:id="rId128" o:title=""/>
          </v:shape>
        </w:pict>
      </w:r>
      <w:r w:rsidR="00703D06">
        <w:rPr>
          <w:rFonts w:ascii="Calibri" w:hAnsi="Calibri" w:cs="Calibri"/>
        </w:rPr>
        <w:t xml:space="preserve"> - 3 этап - строительство объекта и передача в аренду;</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44" type="#_x0000_t75" style="width:19.5pt;height:9pt">
            <v:imagedata r:id="rId129" o:title=""/>
          </v:shape>
        </w:pict>
      </w:r>
      <w:r w:rsidR="00703D06">
        <w:rPr>
          <w:rFonts w:ascii="Calibri" w:hAnsi="Calibri" w:cs="Calibri"/>
        </w:rPr>
        <w:t xml:space="preserve"> - 4 - выкуп объекта.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Подобная практика используется при реализации проектов строительства детских садов и образовательных учреждений. Например, если речь идет о проекте ГЧП, предполагающем строительство детского сада на территории муниципального образования, то после окончания строительства объекта инвестор передает его в долгосрочную аренду местному образовательному учреждению. Когда вложения инвестора окупаются, объект поступает на баланс муниципального образования. Арендные платежи инвестору могут выплачиваться за счет средств, специально предусмотренных на указанные цели программой, в т.ч. межмуниципальной, финансируемой за счет средств регионального бюджета (региональный бюджет выделяет субсидии соответствующим местным бюджетам, а те выделяют средства учреждениям для выплаты аренды).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187" w:name="Par4672"/>
      <w:bookmarkEnd w:id="187"/>
      <w:r>
        <w:rPr>
          <w:rFonts w:ascii="Calibri" w:hAnsi="Calibri" w:cs="Calibri"/>
        </w:rPr>
        <w:t>Концессионное соглашение</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 концессии применим также к проектам, реализуемым в социальной сфере, в отношении объектов здравоохранения, в т.ч. предназначенных для санаторно-курортного лечения, объектов образования, культуры, спорта, объектов, используемых для организации отдыха граждан и туризма.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Концессионер возвращает вложенные средства за счет взимания платы с пользователей объекта либо за счет эксплуатационных платежей, выплачиваемых концедентом.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концессия является наиболее эффективным механизмом при строительстве объектов, которые оказывают платные услуги и являются самоокупаемыми, например, спортивных объектов (стадионы, физкультурно-оздоровительные комплексы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примера использования ГЧП для целей развития социальной инфраструктуры на региональном уровне можно привести проект строительства школ и детских садов в Ханты-Мансийском автономном округе - Югре. Проектом, в котором участвуют 16 муниципальных образований ХМАО, предполагается строительство 77 объектов учреждений образования, общей стоимостью 27,1 млрд.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данного проекта использована схема BOLT, предполагающая: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строительство объектов инфраструктуры инвестором;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сохранение права собственности на результат инвестиций у инвестора до момента завершения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передачу инвестором объекта в аренду муниципальному образованию;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осуществление расчетов за аренду за счет текущих расходов бюджета при гарантии муниципального образования и субъекта РФ по текущим арендным платежам;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передачу прав собственности на объект инфраструктуры от инвестора муниципальному образованию.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проект строительства детских садов на условиях ГЧП (схема BOLT) реализуется на территории Астраханской области в рамках Программы "Развитие инфраструктуры сети дошкольных образовательных учреждений Астраханской области на 2012 - 2016 годы и на перспективу до 2023 года". Общая стоимость проекта составляет 4,02 млрд.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Положительный опыт применения механизмов ГЧП в социальной сфере имеется также в Санкт-Петербурге в рамках проекта строительства образовательных учреждений на территории Пушкинского района Санкт-Петербурга (жилые районы "Славянка" и "Новая Ижора"), реализованного с использованием концессионного механизма в соответствии с законом Санкт-Петербурга от 25.12.2006 N 627-100 "Об участии Санкт-Петербурга в государственно-частных партнерствах".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соглашением публичная сторона (г. Санкт-Петербург) предоставляет в аренду инвестору земельные участки для строительства объектов образования, после ввода их в эксплуатацию осуществляет платежи, которые включают стоимость строительства и эксплуатации образовательных объектов. Инвестор после окончания строительства объектов передает их в собственность городу, но осуществляет их техническое обслуживание в течение 10 лет после ввода в эксплуатацию.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Общий объем инвестиций по проекту составляет 3,25 млрд.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Примером применения концессионного механизма ГЧП в социальной сфере является реализация проекта строительства физкультурно-оздоровительных комплексов в Нижегородской области в Павловском, Краснобаковском и Лукояновском районах. Концессионные соглашения были заключены сроком на 12 лет, общий объем инвестиций составил 1,4 млрд. руб.</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88" w:name="Par4690"/>
      <w:bookmarkEnd w:id="188"/>
      <w:r>
        <w:rPr>
          <w:rFonts w:ascii="Calibri" w:hAnsi="Calibri" w:cs="Calibri"/>
        </w:rPr>
        <w:t>Формы ГЧП в сфере водоснабжения и ТБО</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сектор ЖКХ является одной их наиболее проблемных отраслей экономики России, требующей от государства применения качественно нового подхода к ее реформированию.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Существующие проблемы некачественной воды, изношенности водопроводно-канализационного хозяйства, загрязнения водных объектов, необходимости обеспечения населения качественной водой, услугами по водоотведению и обеспечению надлежащей очистки стоков обусловлены, прежде всего, недостатком бюджетного финансирования строительства новых объектов водоснабжения и канализации и реконструкции существующих. В связи с этим возникает необходимость вовлечения частных инвесторов в решение указанных вопросов.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инвестиционных проектов в коммунальной сфере может осуществляться с использованием следующих моделей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обратная аренда (BOLT);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концессионное соглашение;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инвестиционные контракты.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Схема BOLT или обратная аренда может быть использована, например, для целей инвестиций в объекты нового строительства в сфере коммунальной инфраструктуры, переработки и утилизации твердых бытовых отходов.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Схема BOLT предполагает: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(строительство) объекта ЖКХ частным инвестором;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возникновение права частной собственности инвестора на вновь созданный объект;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передачу созданного объекта коммунальной инфраструктуры в аренду региона или муниципалитета;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привлечение регионом или муниципалитетом специализированной эксплуатирующей организации (унитарного предприятия/учреждения) для управления и эксплуатации объекта коммунальной инфраструктуры в соответствии с установленными стандартами и критериями качества оказываемых услуг;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выплату арендных платежей инвестору на основании договора аренды с регионом или муниципалитетом;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переход права собственности на объект к региону или муниципалитету по истечении срока инвестиционного соглашения, возмещения инвестором понесенных затрат и получения прибыли.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4"/>
        <w:rPr>
          <w:rFonts w:ascii="Calibri" w:hAnsi="Calibri" w:cs="Calibri"/>
        </w:rPr>
      </w:pPr>
      <w:bookmarkStart w:id="189" w:name="Par4707"/>
      <w:bookmarkEnd w:id="189"/>
      <w:r>
        <w:rPr>
          <w:rFonts w:ascii="Calibri" w:hAnsi="Calibri" w:cs="Calibri"/>
        </w:rPr>
        <w:t>Концессионное соглашение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Концессионное соглашение предусматривает обязательство частного партнера - концессионера создать и/или реконструировать определенное этим соглашением имущество, входящее в состав коммунальной инфраструктуры, право собственности на которое принадлежит или будет принадлежать публичному партнеру.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140" w:history="1">
        <w:r>
          <w:rPr>
            <w:rFonts w:ascii="Calibri" w:hAnsi="Calibri" w:cs="Calibri"/>
            <w:color w:val="0000FF"/>
          </w:rPr>
          <w:t>законом</w:t>
        </w:r>
      </w:hyperlink>
      <w:r>
        <w:rPr>
          <w:rFonts w:ascii="Calibri" w:hAnsi="Calibri" w:cs="Calibri"/>
        </w:rPr>
        <w:t xml:space="preserve"> "О концессионных соглашениях" объектами соглашения могут являться системы коммунальной инфраструктуры и иные объекты коммунального хозяйства, в том числе: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тепло-, газо- и энергоснабжения;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централизованные системы горячего водоснабжения, холодного водоснабжения и (или) водоотведения, отдельные объекты таких систем;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переработки и утилизации (захоронения) бытовых отходов;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предназначенные для освещения территорий городских и сельских поселений;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предназначенные для благоустройства территорий;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объекты социально-бытового назначения.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Законодательством предусмотрены некоторые особенности заключения концессионного соглашения. В случае если его объектом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то, помимо общих условий, концессионное соглашение должно содержать следующие существенные условия: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значения долгосрочных параметров регулирования деятельности концессионера (долгосрочных параметров регулирования тарифов);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задание и основные мероприятия, определенные в соответствии с положениями Федерального </w:t>
      </w:r>
      <w:hyperlink r:id="rId141" w:history="1">
        <w:r>
          <w:rPr>
            <w:rFonts w:ascii="Calibri" w:hAnsi="Calibri" w:cs="Calibri"/>
            <w:color w:val="0000FF"/>
          </w:rPr>
          <w:t>закона</w:t>
        </w:r>
      </w:hyperlink>
      <w:r>
        <w:rPr>
          <w:rFonts w:ascii="Calibri" w:hAnsi="Calibri" w:cs="Calibri"/>
        </w:rPr>
        <w:t xml:space="preserve"> "О концессионных соглашениях", с описанием основных характеристик таких мероприятий;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предельный размер расходов на создание и (или) реконструкцию объекта концессионного соглашения, которые предполагается осуществлять в течение всего срока действия концессионного соглашения концессионером;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плановые значения показателей деятельности концессионера;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порядок возмещения расходов концессионера, подлежащих возмещению в соответствии с нормативными правовыми актами в сфере теплоснабжения, водоснабжения и водоотведения и не возмещенных ему на момент окончания срока действия концессионного соглашения.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примера проекта государственно-частного партнерства в сфере ЖКХ можно привести концессионное соглашение на создание системы переработки и утилизации твердых бытовых отходов в Саратовской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Соглашение заключено в 2013 г. между правительством Саратовской области и ЗАО "Управление отходами".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 предполагает строительство и эксплуатацию двух полигонов твердых бытовых отходов суммарной мощностью не менее 450000 тонн в год, восемнадцати мусороперегрузочных станций, двух мусороперерабатывающих комплексов мощностью не менее 150000 тонн в год каждый, а также двух цехов биокомпостирования.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стоимость проекта составляет 1 млрд. 640 млн.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концессионное соглашения заключено между Администрацией г. Перми и ООО "НОВОГОР-Прикамье" в отношении имущественного комплекса систем коммунальной инфраструктуры водоснабжения, водоотведения и очистки сточных вод города Перми (в 2013 г.). Суммарный объем инвестиций составит более 3 млрд. руб. до 2022 г.</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90" w:name="Par4729"/>
      <w:bookmarkEnd w:id="190"/>
      <w:r>
        <w:rPr>
          <w:rFonts w:ascii="Calibri" w:hAnsi="Calibri" w:cs="Calibri"/>
        </w:rPr>
        <w:t>ГЧП в сфере энергоснабжения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Сфера энергетики России характеризуется наличием ряда проблем, которые в значительной степени осложняют возможность устойчивого и качественного энерго- и теплоснабжения потребителей и обусловлены, главным образом, недостаточностью бюджетных средств, направляемых на финансирование соответствующих объектов. В частности, в сфере энергетики речь идет об увеличении степени износа генерирующих мощностей, передающих и распределительных сетей, а также уменьшении ввода основных фондов, необходимости замены устаревшего оборудования.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вариантом решения проблемы, связанной с необходимостью реконструкции/создания объектов сферы энергетики, находящихся в государственной или муниципальной собственности, является привлечение на конкурсной основе средств частных инвесторов с использованием механизмов государственно-частного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объектов по производству, передаче и распределению электрической и тепловой энергии, объектов тепло - и энергоснабжения могут применяться рассмотренные выше механизмы концессии и обратной аренды (BOLT).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примера ГЧП в сфере энергоснабжения можно привести концессионное соглашение в отношении тепловых сетей, заключенное ЗАО "Байкалэнерго" с администрацией г. Иркутска.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ЗАО "Байкалэнерго" заключило концессионное соглашение на 29 лет в целях реконструкции (модернизации) муниципального имущества - объектов коммунальной инфраструктуры теплоснабжения муниципального образования г. Саяногорск (Республика Хакасия), расположенных в г. Саяногорске, пгт. Майна, пгт. Черемушки.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государственно-частное партнерства в настоящее время является одним из актуальных инструментов реализации эффективной государственной инвестиционной политики, способствующим привлечению дополнительного финансирования в наиболее социально значимые отрасли (транспорт, ЖКХ, социальная сфера, энергоснабжение и др.), испытывающие дефицит бюджетного финансирования.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института ГЧП на региональном уровне, в том числе создание четкой нормативной базы, создание системы управления проектами ГЧП будет способствовать решению первоочередных задач, таких как: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инвестиционной привлекательности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уровня и качества услуг, которые предоставляются населению;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возможностей для внедрения качественно новых технологий в рамках реализации инвестиционных проектов, повышение эффективности управления объектами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расходов регионального бюджета и повышение эффективности использования бюджетного финансирования.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условий успешного развития ГЧП на территории Смоленской области должно стать принятие регионального закона об участии Смоленской области в проектах государственно-частного партнерства, а также определение состава, структуры, функций и полномочий органов и лиц, ответственных за реализацию проектов ГЧП и взаимодействие с инвесторами на территории области. Реализация указанных мероприятий будет способствовать созданию привлекательных условий и гарантий для инвесторов, заинтересованных во вложении средств в проекты на территории Смоленской области, становлению и дальнейшему развитию практики реализации проектов с применением различных форм взаимодействия государства и частного сектора.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91" w:name="Par4744"/>
      <w:bookmarkEnd w:id="191"/>
      <w:r>
        <w:rPr>
          <w:rFonts w:ascii="Calibri" w:hAnsi="Calibri" w:cs="Calibri"/>
        </w:rPr>
        <w:t>Активизация деятельности по участию в ФАИП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Бюджетное финансирование проектов ГЧП может осуществлять за счет средств ФАИП (Федеральная адресная инвестиционная программа России Департамента государственных целевых программ и капитальных вложений Минэкономразвития России), ФЦП (Федеральные целевые программы России Департамента государственных целевых программ и капитальных вложений Минэкономразвития России), Инвестфонда и ВЭБ.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ФАИП направлены на реализацию инвестиционных проектов строительства, реконструкции, технического перевооружения объектов капитального строительства, включенных в федеральные целевые программы, а также на решение отдельных важнейших социально-экономических вопросов, не включенных в эти программы, на основании предложений, одобренных решениями Президента Российской Федерации и Правительства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ФАИП реализует проекты в следующих отраслях: социальный комплекс (наука, образование, культура, здравоохранение, коммунальное строительство, центральные организации, федеральные целевые программы, жилищное строительство), производственные комплексы (электроэнергетика, геология и разведка недр, машиностроение, медицинская промышленность, лесное хозяйство, строительный комплекс, морской транспорт, речной транспорт, воздушный транспорт, железнодорожный транспорт, дорожное хозяйство, связь, водное хозяйство и охрана окружающей среды, агропромышленный комплекс).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Крупнейшими получателями средств федерального бюджета через ФАИП в 2013 г. были Москва, Московская область, Краснодарский край. Основными направлениями инвестирования в 2013 г. были дорожное хозяйство, жилищное строительство и здравоохранение.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2014 - 2016 годах в рамках адресной программы предусматривается реализация пяти новых федеральных целевых программ </w:t>
      </w:r>
      <w:hyperlink w:anchor="Par4752" w:history="1">
        <w:r>
          <w:rPr>
            <w:rFonts w:ascii="Calibri" w:hAnsi="Calibri" w:cs="Calibri"/>
            <w:color w:val="0000FF"/>
          </w:rPr>
          <w:t>&lt;41&gt;</w:t>
        </w:r>
      </w:hyperlink>
      <w:r>
        <w:rPr>
          <w:rFonts w:ascii="Calibri" w:hAnsi="Calibri" w:cs="Calibri"/>
        </w:rPr>
        <w:t>, в частности: "</w:t>
      </w:r>
      <w:hyperlink r:id="rId142" w:history="1">
        <w:r>
          <w:rPr>
            <w:rFonts w:ascii="Calibri" w:hAnsi="Calibri" w:cs="Calibri"/>
            <w:color w:val="0000FF"/>
          </w:rPr>
          <w:t>Исследования и разработки по приоритетным направлениям</w:t>
        </w:r>
      </w:hyperlink>
      <w:r>
        <w:rPr>
          <w:rFonts w:ascii="Calibri" w:hAnsi="Calibri" w:cs="Calibri"/>
        </w:rPr>
        <w:t xml:space="preserve"> развития научно-технологического комплекса России на 2014 - 2020 годы", "</w:t>
      </w:r>
      <w:hyperlink r:id="rId143" w:history="1">
        <w:r>
          <w:rPr>
            <w:rFonts w:ascii="Calibri" w:hAnsi="Calibri" w:cs="Calibri"/>
            <w:color w:val="0000FF"/>
          </w:rPr>
          <w:t>Научные и научно-педагогические кадры</w:t>
        </w:r>
      </w:hyperlink>
      <w:r>
        <w:rPr>
          <w:rFonts w:ascii="Calibri" w:hAnsi="Calibri" w:cs="Calibri"/>
        </w:rPr>
        <w:t xml:space="preserve"> инновационной России" на 2014 - 2020 годы, </w:t>
      </w:r>
      <w:hyperlink r:id="rId144" w:history="1">
        <w:r>
          <w:rPr>
            <w:rFonts w:ascii="Calibri" w:hAnsi="Calibri" w:cs="Calibri"/>
            <w:color w:val="0000FF"/>
          </w:rPr>
          <w:t>"Чистая вода"</w:t>
        </w:r>
      </w:hyperlink>
      <w:r>
        <w:rPr>
          <w:rFonts w:ascii="Calibri" w:hAnsi="Calibri" w:cs="Calibri"/>
        </w:rPr>
        <w:t xml:space="preserve"> на 2011 - 2017 годы, "</w:t>
      </w:r>
      <w:hyperlink r:id="rId145" w:history="1">
        <w:r>
          <w:rPr>
            <w:rFonts w:ascii="Calibri" w:hAnsi="Calibri" w:cs="Calibri"/>
            <w:color w:val="0000FF"/>
          </w:rPr>
          <w:t>Охрана озера Байкал</w:t>
        </w:r>
      </w:hyperlink>
      <w:r>
        <w:rPr>
          <w:rFonts w:ascii="Calibri" w:hAnsi="Calibri" w:cs="Calibri"/>
        </w:rPr>
        <w:t xml:space="preserve"> и социально-экономическое развитие Байкальской природной территории на 2012 - 2020 годы", "</w:t>
      </w:r>
      <w:hyperlink r:id="rId146" w:history="1">
        <w:r>
          <w:rPr>
            <w:rFonts w:ascii="Calibri" w:hAnsi="Calibri" w:cs="Calibri"/>
            <w:color w:val="0000FF"/>
          </w:rPr>
          <w:t>Экономическое и социальное развитие</w:t>
        </w:r>
      </w:hyperlink>
      <w:r>
        <w:rPr>
          <w:rFonts w:ascii="Calibri" w:hAnsi="Calibri" w:cs="Calibri"/>
        </w:rPr>
        <w:t xml:space="preserve"> Дальнего Востока и Байкальского региона на период до 2018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192" w:name="Par4752"/>
      <w:bookmarkEnd w:id="192"/>
      <w:r>
        <w:rPr>
          <w:rFonts w:ascii="Calibri" w:hAnsi="Calibri" w:cs="Calibri"/>
        </w:rPr>
        <w:t>&lt;41&gt; http://faip.economy.gov.ru/cgi/uis/faip.cgi/G1/faip/2014.</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важнейших приоритетных направлений государственного инвестирования является развитие науки и высоких технологий. На эти цели будут направлены средства в 2014 году - 6,3 млрд. рублей, 2015 году - 5,9 млрд. рублей, 2016 году - 7,2 млрд. рублей.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и в предшествующие годы, одним из приоритетных направлений государственных инвестиций остается создание условий для ускорения экономического роста за счет развития производственной инфраструктуры, в том числе транспортной, трубопроводной, информационно-коммуникационной инфраструктуры. В 2014 - 2016 годах будут осуществляться строительство и реконструкция ряда автомобильных дорог (172,2 млрд. рублей, 165,5 млрд. рублей, 151,8 млрд. рублей соответственно). Также предусмотрены субсидии на реализацию мероприятий по софинансированию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развитие воздушного транспорта предлагается направить в 2014 году 45,3 млрд. рублей, в 2015 году - 66,2 млрд. рублей, в 2016 году - 69,5 млрд. рублей.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развитие железнодорожного транспорта предлагается направить средства в сумме 12,3 млрд. рублей в 2014 году, 12,2 млрд. рублей в 2015 году, 37,7 млрд. рублей в 2016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2014 - 2016 годах будет продолжена работа, направленная на развитие отечественной авиации и самолетостроения, формирование научного задела и научного сопровождения, обеспечивающих развитие отечественной авиационной техники.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93" w:name="Par4760"/>
      <w:bookmarkEnd w:id="193"/>
      <w:r>
        <w:rPr>
          <w:rFonts w:ascii="Calibri" w:hAnsi="Calibri" w:cs="Calibri"/>
        </w:rPr>
        <w:t>Привлечение средств инвестиционного фонда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Средства Инвестиционного фонда РФ являются важнейшим инструментом реализации проектов ГЧП в региональных экономиках, учитывая его определяющую долю в их финансировании.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Инвестиционной стратегии, достижению которых напрямую способствует мера: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необходимой для осуществления инвестиционных проектов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сути меры, а также ее ожидаемого результата: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субсидирование части затрат предпринимательских структур в рамках проекта за счет бюджетов всех уровней;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передача государству созданной научно-технической продукции в счет погашения долговых обязательств предпринимательских структур перед ним (на федеральном и субфедеральном уровнях).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цели необходимо: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 стадии подготовки инновационных проектов государственно-частного партнерства, финансируемых с привлечением заемных средств, особо определять размер и потребность в инвестициях и/или гарантиях по привлекаемым финансовым ресурсам с выделением конкретных направлений их использования в финансовом механизме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ввести специальную систему показателей эффективности реализации инновационных проектов, включающую показатели экономической, экологической и социальной эффективности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ввести особую процедуру ведения учета, составления отчетности и проведения контроля (аудита) инновационного проекта ГЧП, основанную на требованиях, изложенных в нормативно-правовых актах и внутрифирменных стандартах, соглашении (контракте, договоре) между партнерами с обязательной стоимостной оценкой объектов интеллектуальной собственности и их учете на балансе органа, ответственного за реализацию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Укрупненный план-график реализации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Аудит необходимости, обоснованности и эффективности предоставления существующих льгот и мер поддержки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Разработка методики оценки необходимости, эффективности и последствий предоставления льгот и мер поддержки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Оценка последствий (экономических, фискальных и др.) от предоставления льгот и мер поддержки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Определение форм, требований к получателям, условий получения и состава документов для получения льгот и мер поддержки.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Разработка нормативных правовых актов, закрепляющих необходимые и эффективные льготы и меры поддержки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Мониторинг использования льгот и мер поддержки.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Контроль использования льгот и мер поддержки.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Критерии успеха применения меры, предполагающие возможность количественной оценки: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правового нормативного акта (анализ нормативной базы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объем субсидий из регионального бюджета, направленный на поддержку инвесторов (анализ отчетности);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объем субсидий из федерального бюджета, направленный на поддержку инвесторов (анализ отчетности);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объем производства получателей льгот и мер поддержки на 1 руб. поддержки (анализ отчетности);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количество получателей льгот и мер поддержки (анализ отчетности).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Структура и (или) конкретное лицо, отвечающее за реализацию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94" w:name="Par4789"/>
      <w:bookmarkEnd w:id="194"/>
      <w:r>
        <w:rPr>
          <w:rFonts w:ascii="Calibri" w:hAnsi="Calibri" w:cs="Calibri"/>
        </w:rPr>
        <w:t>Создание залогового фонда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Муниципалитеты обладают огромным государственным ресурсом, который может выступать одним из источников ГЧП.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Залоговый фонд региона создается для обеспечения исполнения обязательств региона, субъектов инвестиционной деятельности на территории региона, а также создания благоприятных условий для привлечения инвестиций в экономику региона посредством совместного участия в инвестиционных проектах, реализуемых на территории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залогового фонда могут быть включены государственное имущество и имущественные права, принадлежащие Смоленской области, которые в соответствии с законодательством могут быть отнесены к предмету залога. Предоставление в залог имущества, включенного в состав залогового фонда, для обеспечения исполнения кредитных обязательств хозяйствующих субъектов в целях реализации инвестиционных проектов осуществляется на конкурсной основе.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Цели Инвестиционной стратегии, достижению которых напрямую способствует мера: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необходимой для осуществления инвестиционных проектов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административных барьеров для осуществления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сути меры, а также ее ожидаемого результата: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данной цели обеспечивается через предоставление доступной информации о земельных участках и природных ресурсах, сокращение сроков предоставления земельных участков и лицензий на разработку природных ресурсов; обеспечение доступного (экономически обоснованного) уровня платы (рыночной стоимости, арендной платы, земельного налога) за земельные участки и лицензии на разработку природных ресурсов.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Укрупненный план-график реализации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Инвентаризация земель и прочих объектов недвижимости на территории муниципальных образований, пригодных к использованию качестве залога.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Формирование резервного фонда земель.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Государственный резерв земель Смоленской области для государственных нужд создается из состава находящихся в собственности Смоленской области свободных земельных участков городских и сельских поселений и пригородных зон.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Распоряжение земельными участками, включенными в состав государственного резерва земель Смоленской области, осуществляется с учетом правил землепользования и застройки территорий городских и сельских поселений, принятых в соответствии с земельным законодательством.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Фондом осуществляется ряд функций: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анализ и мониторинг процесса формирования земельных участков, подлежащих включению в государственный резерв земель Смоленской области, и их дальнейшего пользования;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инвентаризация и выявление свободных, а также высвобождаемых земельных участков для их последующего включения в государственный резерв земель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участие в формировании перечней земельных участков, подлежащих включению в государственный резерв земель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внесение предложений об использовании земельных участков, включенных в государственный резерв земель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контроль за использованием по назначению земельных участков, включенных в государственный резерв земель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Разработка нормативных правовых актов, регулирующих порядок формирования и использования залогового фонда.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Поиск и работа с инвесторами.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Мониторинг выполнения условий сотрудничества с Земельным Фондом.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Критерии успеха применения меры, предполагающие возможность количественной оценки: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срок, к которому должен быть сформирован реестр (база данных, кадастр) земельных участков и природных ресурсов;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количество земельных участков и месторождений (лицензий), которые должны быть в реестре;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площадь земельных участков, которые должны быть в реестре;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срок получения информации из реестра (базы данных, кадастра);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сроки предоставления земельных участков и лицензий на разработку природных ресурсов;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уровень рыночных цен, арендной платы, земельного налога на земельные участки;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уровень цен на лицензии на разработку месторождений полезных ископаемых.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Структура и (или) конкретное лицо, отвечающее за реализацию 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Департамент имущественных и земельных отношений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Департамент Смоленской области по природным ресурсам и экологии.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Департамент 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Администрации муниципальных образований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95" w:name="Par4827"/>
      <w:bookmarkEnd w:id="195"/>
      <w:r>
        <w:rPr>
          <w:rFonts w:ascii="Calibri" w:hAnsi="Calibri" w:cs="Calibri"/>
        </w:rPr>
        <w:t>Привлечение инвестиций в социальную сферу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сфере государственно-частное партнерство включает в себя: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договор аренды объекта недвижимости (после договора о праве на заключение договора аренды в будущем), в том числе заключенный на основании местного законодательства;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концессионное соглашение о создании и эксплуатации объекта социальной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государственный контракт на строительство школ и детских садов "под ключ" с условием рассрочки платежа.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Государственный заказчик и инвестор-подрядчик заключают договор на право заключения договора аренды на будущий объект. По договору аренды государственный заказчик будет осуществлять арендные платежи.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Инвестор-подрядчик может взаимодействовать с ипотечным агентом, рефинансирующим расходы на строительство под залог объекта. В свою очередь, ипотечный агент может финансировать проект путем выпуска облигаций ипотечного займа.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заключения государственного контракта с рассрочкой ипотечный агент рефинансирует рассрочку платежа по государственному контракту. Обеспечением выступает сам объект или другие объекты недвижимости.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196" w:name="Par4837"/>
      <w:bookmarkEnd w:id="196"/>
      <w:r>
        <w:rPr>
          <w:rFonts w:ascii="Calibri" w:hAnsi="Calibri" w:cs="Calibri"/>
        </w:rPr>
        <w:t>12.5. Привлечение средств институтов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институтов развития - высокоспециализированных инвесторов для реализации инвестиционных проектов в узких отраслевых рамках, формально не являются средствами федерального бюджета и поэтому могут использоваться с большей степенью свободы. SWOT-анализ использования средств, предоставляемых институтами развития (в рамках реализации федеральных целевых программ), рассмотрен в </w:t>
      </w:r>
      <w:hyperlink w:anchor="Par4843" w:history="1">
        <w:r>
          <w:rPr>
            <w:rFonts w:ascii="Calibri" w:hAnsi="Calibri" w:cs="Calibri"/>
            <w:color w:val="0000FF"/>
          </w:rPr>
          <w:t>таблице 23</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197" w:name="Par4841"/>
      <w:bookmarkEnd w:id="197"/>
      <w:r>
        <w:rPr>
          <w:rFonts w:ascii="Calibri" w:hAnsi="Calibri" w:cs="Calibri"/>
        </w:rPr>
        <w:t>Таблица 23</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198" w:name="Par4843"/>
      <w:bookmarkEnd w:id="198"/>
      <w:r>
        <w:rPr>
          <w:rFonts w:ascii="Calibri" w:hAnsi="Calibri" w:cs="Calibri"/>
        </w:rPr>
        <w:t>SWOT-анализ использования средств,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предоставляемых институтами развития</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jc w:val="center"/>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818"/>
        <w:gridCol w:w="4818"/>
      </w:tblGrid>
      <w:tr w:rsidR="00703D06">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Сильные стороны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Институты развития - надежные партнеры.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Регламентированные требования к оформлению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Прозрачная процедура принятия решений.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 Возможности финансировать крупномасштабные проекты с длительными сроками окупаемости, например, инфраструктурные.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 Средства выделяются на широкий перечень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 Более гибкие подходы в сравнении с бюджетными источниками</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Слабые стороны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Необходимость строгого соответствия требованиям для получения финансирования.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Высокая специализация каждого института развития на своих типах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Институты развития участвуют в основном в крупных проектах (недоступность для малого и среднего бизнеса)</w:t>
            </w:r>
          </w:p>
        </w:tc>
      </w:tr>
      <w:tr w:rsidR="00703D06">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Возможности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Значительные возможности увеличения количества финансируемых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Привлечение международных институтов развития</w:t>
            </w:r>
          </w:p>
        </w:tc>
        <w:tc>
          <w:tcPr>
            <w:tcW w:w="48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Угрозы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Политические риски изменения курса власти РФ и, в случае международных институтов развития, изменения международных отношений.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Возможна частичная или полная потеря контроля над проектом</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199" w:name="Par4868"/>
      <w:bookmarkEnd w:id="199"/>
      <w:r>
        <w:rPr>
          <w:rFonts w:ascii="Calibri" w:hAnsi="Calibri" w:cs="Calibri"/>
        </w:rPr>
        <w:t>Интеграция инвестиционных проектов по использованию</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возможностей, предоставляемых различными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институтами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Интеграция инвестиционных проектов в различные программы и институты развития предполагает формирование следующих агрегатов: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перечень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описание внутренних взаимосвязей (логики взаимодействия)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список институтов развития (включая ФЦП и ведомственные программы), которые обеспечивают реализацию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Институты развития являются эффективным механизмом реализации мер государственной поддержки малого и среднего бизнеса. Передача этих функций от государства к институтам развития позволит перейти от механизма формального бюджетного перераспределения средств к реализации комплексных программ поддержки. Типология институтов развития и их задачи представлены в </w:t>
      </w:r>
      <w:hyperlink w:anchor="Par4880" w:history="1">
        <w:r>
          <w:rPr>
            <w:rFonts w:ascii="Calibri" w:hAnsi="Calibri" w:cs="Calibri"/>
            <w:color w:val="0000FF"/>
          </w:rPr>
          <w:t>таблице 24</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00" w:name="Par4878"/>
      <w:bookmarkEnd w:id="200"/>
      <w:r>
        <w:rPr>
          <w:rFonts w:ascii="Calibri" w:hAnsi="Calibri" w:cs="Calibri"/>
        </w:rPr>
        <w:t>Таблица 24</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01" w:name="Par4880"/>
      <w:bookmarkEnd w:id="201"/>
      <w:r>
        <w:rPr>
          <w:rFonts w:ascii="Calibri" w:hAnsi="Calibri" w:cs="Calibri"/>
        </w:rPr>
        <w:t>Типы институтов развития и их задачи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665"/>
        <w:gridCol w:w="1871"/>
        <w:gridCol w:w="1814"/>
        <w:gridCol w:w="1417"/>
        <w:gridCol w:w="1701"/>
        <w:gridCol w:w="2778"/>
        <w:gridCol w:w="1587"/>
        <w:gridCol w:w="2211"/>
        <w:gridCol w:w="1474"/>
      </w:tblGrid>
      <w:tr w:rsidR="00703D06">
        <w:tc>
          <w:tcPr>
            <w:tcW w:w="266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right"/>
              <w:rPr>
                <w:rFonts w:ascii="Calibri" w:hAnsi="Calibri" w:cs="Calibri"/>
              </w:rPr>
            </w:pPr>
            <w:r>
              <w:rPr>
                <w:rFonts w:ascii="Calibri" w:hAnsi="Calibri" w:cs="Calibri"/>
              </w:rPr>
              <w:t>Задачи институтов развития</w:t>
            </w:r>
          </w:p>
        </w:tc>
        <w:tc>
          <w:tcPr>
            <w:tcW w:w="187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Преодоление барьеров для диверсификации экономики (отраслевая политика)</w:t>
            </w:r>
          </w:p>
        </w:tc>
        <w:tc>
          <w:tcPr>
            <w:tcW w:w="181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Развитие экономической инфраструктуры</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Преодоление "провалов" в сфере инноваций</w:t>
            </w:r>
          </w:p>
        </w:tc>
        <w:tc>
          <w:tcPr>
            <w:tcW w:w="277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Поддержка социально-приоритетных отраслей и сфер</w:t>
            </w:r>
          </w:p>
        </w:tc>
        <w:tc>
          <w:tcPr>
            <w:tcW w:w="158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Преодоление региональных дисбалансов</w:t>
            </w:r>
          </w:p>
        </w:tc>
        <w:tc>
          <w:tcPr>
            <w:tcW w:w="221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Преодоление институциональных "провалов"</w:t>
            </w:r>
          </w:p>
        </w:tc>
        <w:tc>
          <w:tcPr>
            <w:tcW w:w="147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Преодоление барьеров выхода на внешние рынки</w:t>
            </w:r>
          </w:p>
        </w:tc>
      </w:tr>
      <w:tr w:rsidR="00703D06">
        <w:tc>
          <w:tcPr>
            <w:tcW w:w="2665" w:type="dxa"/>
            <w:vMerge/>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871" w:type="dxa"/>
            <w:vMerge/>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814" w:type="dxa"/>
            <w:vMerge/>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417"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прикладные инновации</w:t>
            </w: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инновации в сфере стратегических технологий</w:t>
            </w:r>
          </w:p>
        </w:tc>
        <w:tc>
          <w:tcPr>
            <w:tcW w:w="2778" w:type="dxa"/>
            <w:vMerge/>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587" w:type="dxa"/>
            <w:vMerge/>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211" w:type="dxa"/>
            <w:vMerge/>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vMerge/>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rPr>
                <w:rFonts w:ascii="Calibri" w:hAnsi="Calibri" w:cs="Calibri"/>
              </w:rPr>
            </w:pPr>
            <w:r>
              <w:rPr>
                <w:rFonts w:ascii="Calibri" w:hAnsi="Calibri" w:cs="Calibri"/>
              </w:rPr>
              <w:t>Типы институтов развития</w:t>
            </w:r>
          </w:p>
        </w:tc>
        <w:tc>
          <w:tcPr>
            <w:tcW w:w="1871"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814"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41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778"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58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211"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474"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Федеральные и ведомственные целевые программы</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Универсальные банки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Отраслевые банки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Институты поддержки прикладных инноваций (бизнес-инкубаторы, центры трансферта технологий, венчурные фонды и др.)</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Институты поддержки развития стратегических технологий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Фонды и агентства социального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Фонды регионального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Особые экономические зоны, зоны территориального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Моноинструментальные институты развития (государственные лизинговые компании, ипотечные агентства и др.)</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26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Экспортно-импортные банки и страховые агентства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x</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государственной политики, направленной на создание институтов развития экономически обоснована, позволит повысить темпы экономического роста, приведет к снижению общей неопределенности и рисков и издержек ведения бизнеса.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известными и активно функционирующими финансовыми институтами развития являются следующие: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Инвестиционный фонд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Государственная корпорация "Банк развития и внешнеэкономической деятельности (Внешэкономбанк)" (включая его дочерние структуры - ОАО "Российский банк развития" и ЗАО "Российский экспортно-импортный банк");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ОАО "Российский сельскохозяйственный банк" (Россельхозбанк);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ОАО "Российская венчурная компания" (РВК - ОАО "Российский инвестиционный фонд информационно-коммуникационных технологий" (Росинфокоминвест);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Государственная корпорация "Российская корпорация нанотехнологий" (Роснанотех);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ОАО "Особые экономические зоны" (ОЭЗ);</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Государственная корпорация "Фонд содействия реформированию жилищно-коммунального хозяйства" (Фонд ЖКХ);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ОАО "Агентство по ипотечному жилищному кредитованию" (АИЖК);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Федеральный фонд содействия развитию жилищного строительства (Фонд РЖС);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Фонд содействия развитию малых форм предприятий в научно-технической сфере.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следует отметить и нефинансовые институты развития, осуществляющие поддержку активизации инновационного развития и диверсификации российской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четыре технико-внедренческие, две промышленно-производственные особые экономические зоны и семь туристско-рекреационных ОЭЗ (Иркутская и Приморский край, Ставропольский, Краснодарский и Алтайский края, Республики Алтай и Бурятия);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зоны территориального развития - новый нефинансовый институт развития, созданный в декабре 2011 г., еще достаточно не апробирован;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региональные агентства по привлечению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система региональных центров субконтрактации, обеспечивающая информационную и организационно-методическую поддержку кооперационного взаимодействия малых, средних и крупных промышленных предприятий;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технопарки;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индустриальные (промышленные) парки.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приоритетных институтов развития для Смоленской области могут выступить Универсальные банки развития, Отраслевые банки развития, отдача от проектов которых будет ощутима уже в краткосрочной перспективе: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Инвестиционный фонд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Государственная корпорация "Банк развития и внешнеэкономической деятельности (Внешэкономбанк)" (включая его дочерние структуры - ОАО "Российский банк развития" и ЗАО "Российский экспортно-импортный банк");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ОАО "Российский сельскохозяйственный банк" (Россельхозбанк);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 также федеральные и ведомственные целевые программы: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47" w:history="1">
        <w:r>
          <w:rPr>
            <w:rFonts w:ascii="Calibri" w:hAnsi="Calibri" w:cs="Calibri"/>
            <w:color w:val="0000FF"/>
          </w:rPr>
          <w:t>программа</w:t>
        </w:r>
      </w:hyperlink>
      <w:r>
        <w:rPr>
          <w:rFonts w:ascii="Calibri" w:hAnsi="Calibri" w:cs="Calibri"/>
        </w:rPr>
        <w:t xml:space="preserve"> "Исследования и разработки по приоритетным направлениям развития научно-технологического комплекса России" на 2014 - 2020 годы - реализация мероприятий в Смоленской области, нацеленных на формирование конкурентоспособного и эффективно функционирующего сектора исследований и разработок в области прикладных исследований;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48" w:history="1">
        <w:r>
          <w:rPr>
            <w:rFonts w:ascii="Calibri" w:hAnsi="Calibri" w:cs="Calibri"/>
            <w:color w:val="0000FF"/>
          </w:rPr>
          <w:t>программа</w:t>
        </w:r>
      </w:hyperlink>
      <w:r>
        <w:rPr>
          <w:rFonts w:ascii="Calibri" w:hAnsi="Calibri" w:cs="Calibri"/>
        </w:rPr>
        <w:t xml:space="preserve"> "Научные и научно-педагогические кадры инновационной России" на 2014 - 2020 годы - дальнейшая реализация мероприятий в Смоленской области, нацеленных на развитие системы эффективного воспроизводства высокопрофессиональных кадров научной и научно-образовательной сферы и повышение их конкурентоспособности на мировом уровне;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hyperlink r:id="rId149" w:history="1">
        <w:r>
          <w:rPr>
            <w:rFonts w:ascii="Calibri" w:hAnsi="Calibri" w:cs="Calibri"/>
            <w:color w:val="0000FF"/>
          </w:rPr>
          <w:t>программа</w:t>
        </w:r>
      </w:hyperlink>
      <w:r>
        <w:rPr>
          <w:rFonts w:ascii="Calibri" w:hAnsi="Calibri" w:cs="Calibri"/>
        </w:rPr>
        <w:t xml:space="preserve"> "Развитие внутреннего и въездного туризма в Российской Федерации (2011 - 2018 годы)" - реализация мероприятий по развитию туристско-рекреационного комплекса Смоленской области, повышению качества туристских услуг, продвижению туристского продукта области на мировом и внутреннем туристских рынках".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структура существующей системы российских финансовых институтов развития приводится в </w:t>
      </w:r>
      <w:hyperlink w:anchor="Par5023" w:history="1">
        <w:r>
          <w:rPr>
            <w:rFonts w:ascii="Calibri" w:hAnsi="Calibri" w:cs="Calibri"/>
            <w:color w:val="0000FF"/>
          </w:rPr>
          <w:t>таблице 25</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02" w:name="Par5021"/>
      <w:bookmarkEnd w:id="202"/>
      <w:r>
        <w:rPr>
          <w:rFonts w:ascii="Calibri" w:hAnsi="Calibri" w:cs="Calibri"/>
        </w:rPr>
        <w:t>Таблица 25</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03" w:name="Par5023"/>
      <w:bookmarkEnd w:id="203"/>
      <w:r>
        <w:rPr>
          <w:rFonts w:ascii="Calibri" w:hAnsi="Calibri" w:cs="Calibri"/>
        </w:rPr>
        <w:t>Механизмы реализации функций институтов развития</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jc w:val="center"/>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098"/>
        <w:gridCol w:w="1077"/>
        <w:gridCol w:w="3969"/>
        <w:gridCol w:w="3969"/>
        <w:gridCol w:w="2268"/>
        <w:gridCol w:w="2268"/>
        <w:gridCol w:w="2154"/>
      </w:tblGrid>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Институт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Год создания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Цели и задачи (в скобках - каким документом определены)</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Формы и инструменты реализации функций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Система управления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Механизмы мониторинга</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Возможная координация с иными институтами развития</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АИЖК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1997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системы ипотечного жилищного кредитования в России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рефинансирование ипотечных жилищных кредитов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общее собрание акционеров (РФ - 100%).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Наблюдательный совет (представители государства).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Правление.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Фонд ЖКХ</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Россельхозбанк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банковское обслуживание товаропроизводителей в сфере АПК (Устав)</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кредитование организаций и предприятий АПК и жителей сельской местности;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агент Правительства РФ по финансовому оздоровлению сельскохозяйственных предприятий;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 участие в реализации </w:t>
            </w:r>
            <w:hyperlink r:id="rId150" w:history="1">
              <w:r>
                <w:rPr>
                  <w:rFonts w:ascii="Calibri" w:hAnsi="Calibri" w:cs="Calibri"/>
                  <w:color w:val="0000FF"/>
                </w:rPr>
                <w:t>программы</w:t>
              </w:r>
            </w:hyperlink>
            <w:r>
              <w:rPr>
                <w:rFonts w:ascii="Calibri" w:hAnsi="Calibri" w:cs="Calibri"/>
              </w:rPr>
              <w:t xml:space="preserve"> "Социальное развитие села до 2010 года"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общее собрание акционеров (РФ - 100%).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Наблюдательный совет (общее руководство, входят представители государства).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Правление.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Председатель правления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Росагролизинг</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Росагролизинг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2001</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поддержка российских сельхозтоваропроизводителей на основе развития системы аграрного лизинга (Устав)</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системы аграрного лизинга, а также реализация приоритетного национального проекта "Развитие АПК" в части развития племенного животноводства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общее собрание акционеров (РФ - 100%).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Совет директоров (представители государства).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Россельхозбанк</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Инвестиционный фонд 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2005</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и развитие инфраструктуры, имеющей общегосударственное значение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господдержка в создании и развитии инфраструктуры, имеющей общегосударственное значение с использованием механизма ЧГП</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Правительство РФ.</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Минэкономразвития России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контроль и мониторинг хода реализации инвестиционных проектов осуществляется Минэкономразвития России с привлечением РосОЭЗ.</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Отчеты о ходе реализации инвестиционных проектов регулярно публикуются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Внешэкономбанк</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"ОЭЗ"</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2005</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инженерной, транспортной, социальной, инновационной и иных инфраструктур особых экономических зон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выполнение функций государственного заказчика по созданию инфраструктур ОЭЗ или передача выполнения этих функций акционерному обществу, 100% акций которого принадлежит РФ</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общее собрание акционеров (РФ - 100%), права акционера от имени РФ осуществляет РосОЭЗ.</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Совет директоров.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ревизионная комиссия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Внешэкономбанк</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РВК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2006</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в России собственной индустрии венчурного инвестирования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отбор лучших венчурных управляющих компаний на конкурсной основе;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приобретение паев венчурных фондов, создаваемых этими компаниями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общее собрание акционеров (РФ - 100%).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Совет директоров (представители государства и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ревизионная проверка и независимый аудит.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Инвестиционная деятельность осуществляется публично.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Информация подлежит обязательному раскрытию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Внешэкономбанк;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Росинфокоминвест;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Роснанотех</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Внешэкономбанк</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диверсификации и повышение конкурентоспособности экономики Российской Федерации; развитие инфраструктуры, инноваций, особых экономических зон, поддержка экспорта российских товаров, поддержка малого и среднего бизнеса (федеральный закон)</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предоставление кредитов, займов, поручительств;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участие в уставных капиталах обществ;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поддержка экспорта (страхование, гарантирование)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наблюдательный совет (высший орган управления) - возглавляет Председатель Правительства РФ, члены наблюдательного совета назначаются Правительством.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Коллегиальный орган - Правление.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Единоличный исполнительный орган - Председатель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независимый аудит. Аудиторское заключение подлежит обязательному опубликованию вместе с годовой бухгалтерской отчетностью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Инвестфонд, Роснанотех, РВК, ОАО "ОЭЗ", Росинфокоминвест. В группу Внешэкономбанка также входят ОАО "РосБР" и ЗАО "Росэксимбанк"</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Росинфокоминвест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финансирование инновационных предприятий отрасли информационно-коммуникационных технологий (постановление Правительства)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финансирование проектов в области информационно-коммуникационных технологий (после проведения эмиссии и снижения доли находящихся в федеральной собственности акций до 51% от общего числа акций Фонда)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общее собрание акционеров (в настоящее время РФ - 100%, в перспективе снижение доли РФ до 51%).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Стратегическое управление - совет директоров;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управление активами Фонда - управляющая компания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ревизионная проверка и независимый аудит</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Внешэкономбанк;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РВК</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Роснанотех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инновационной инфраструктуры в сфере нанотехнологий, реализации проектов создания перспективных нанотехнологий (федеральный закон)</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организационная и финансовая поддержка НИОКР в сфере нанотехнологий;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финансирование проектов в сфере нанотехнологий, предусматривающих внедрение нанотехнологий или производство продукции в сфере наноиндустрии;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финансирование проектов по подготовке специалистов в сфере нанотехнологий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наблюдательный совет (назначается Правительством по представлению Президента РФ, Государственной Думы, Совета Федерации Правительства РФ).</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Правление и генеральный директор.</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Консультативный орган - научно-технический совет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проверка ревизионной комиссии, аудиторская проверка.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Годовой отчет направляется Президенту РФ и в Правительство РФ</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РВК</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Фонд ЖКХ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безопасных и благоприятных условий проживания граждан и стимулирования реформирования ЖКХ (федеральный закон)</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наблюдательный совет (утверждается Правительством по представлению Президента РФ, Государственной Думы, Совета Федерации Правительства РФ, Общественной палаты).</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Правление.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Генеральный директор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годовой отчет направляется Президенту РФ, в Государственную Думу, Совет Федерации, Правительство РФ, Общественную палату и подлежит обязательному опубликованию</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АИЖК</w:t>
            </w:r>
          </w:p>
        </w:tc>
      </w:tr>
    </w:tbl>
    <w:p w:rsidR="00703D06" w:rsidRDefault="00703D06">
      <w:pPr>
        <w:widowControl w:val="0"/>
        <w:autoSpaceDE w:val="0"/>
        <w:autoSpaceDN w:val="0"/>
        <w:adjustRightInd w:val="0"/>
        <w:spacing w:after="0" w:line="240" w:lineRule="auto"/>
        <w:jc w:val="center"/>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04" w:name="Par5138"/>
      <w:bookmarkEnd w:id="204"/>
      <w:r>
        <w:rPr>
          <w:rFonts w:ascii="Calibri" w:hAnsi="Calibri" w:cs="Calibri"/>
        </w:rPr>
        <w:t>Механизмы сотрудничества с институтами развития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одного из инструментов сотрудничества с институтами развития в Смоленской области создан региональный инвестиционный фонд (</w:t>
      </w:r>
      <w:hyperlink r:id="rId151" w:history="1">
        <w:r>
          <w:rPr>
            <w:rFonts w:ascii="Calibri" w:hAnsi="Calibri" w:cs="Calibri"/>
            <w:color w:val="0000FF"/>
          </w:rPr>
          <w:t>закон</w:t>
        </w:r>
      </w:hyperlink>
      <w:r>
        <w:rPr>
          <w:rFonts w:ascii="Calibri" w:hAnsi="Calibri" w:cs="Calibri"/>
        </w:rPr>
        <w:t xml:space="preserve"> Смоленской области от 30 мая 2013 года N 48-з). Порядок формирования и использования бюджетных ассигнований регионального инвестиционного фонда устанавливается Администрацией Смоленской области. Объем бюджетных ассигнований регионального инвестиционного фонда устанавливается областным законом об областном бюджете на очередной финансовый год и плановый период.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данного инструмента будет способствовать привлечению частных инвесторов, поскольку это свидетельствует о серьезных намерениях административных органов предпринять реальные шаги по стимулированию прямых инвестиций, а также ведет к разделению инвестиционных рисков. Такой фонд позволяет аккумулировать значительные финансовые средства российских и зарубежных инвесторов для прямых инвестиций в наиболее перспективные существующие предприятия региона и в проекты по созданию новых производств.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Успешная работа Фонда позволит решить ряд важных социально-экономических задач региона: поднять капитализацию местных предприятий, провести их технологическую модернизацию, увеличить объем реализации товаров (услуг), расширить налогооблагаемую базу, создать новые рабочие места, улучшить инвестиционный климат и привлечь инвесторов для дальнейших инвестиций в развитие предприятий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05" w:name="Par5145"/>
      <w:bookmarkEnd w:id="205"/>
      <w:r>
        <w:rPr>
          <w:rFonts w:ascii="Calibri" w:hAnsi="Calibri" w:cs="Calibri"/>
        </w:rPr>
        <w:t>Улучшение работы представительства Администрации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 при Правительстве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Усиление работы Представительства Администрации Смоленской области при Правительстве Российской Федерации с крупными инвесторами и государственными корпорациями. Крупным инвесторам удобнее и быстрее решать текущие вопросы на местах - в столичном регионе. Поэтому для повышения эффективности Представительства Администрации Смоленской области полезно увеличить перечень полномочий до этапа переговоров. В частности, в штат целесообразно принять 1 - 2 бывших работников федеральных министерств и 1 работника институтов развития с окладами, соответствующими московскому уровню оплаты труда. Как показывает опыт Татарстана и других регионов, эти меры окупаются достаточно быстро за счет резкого увеличения притока средств в регион. Также необходимо создать условия, при которых доступ заинтересованных лиц в Представительство в течение рабочего дня не был бы ограничен.</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1"/>
        <w:rPr>
          <w:rFonts w:ascii="Calibri" w:hAnsi="Calibri" w:cs="Calibri"/>
        </w:rPr>
      </w:pPr>
      <w:bookmarkStart w:id="206" w:name="Par5150"/>
      <w:bookmarkEnd w:id="206"/>
      <w:r>
        <w:rPr>
          <w:rFonts w:ascii="Calibri" w:hAnsi="Calibri" w:cs="Calibri"/>
        </w:rPr>
        <w:t>13. План мероприятий по информационной поддержке результатов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внедрения стандарта в Смоленской области на федеральном,</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региональном, муниципальном уровнях и в бизнес-сообществе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Поддержка результатов внедрения Стандарта осуществляется посредством маркетинга имиджа региона. В настоящее время в Смоленской области отсутствует четко сформулированная маркетинговая стратегия развития региона, в связи с чем мероприятия по маркетингу имиджа проводились бессистемно и, как следствие, являлись мало результативными. При проведении маркетинга имиджа региона ключевым моментом является определение целевой аудитории по следующим критериям: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Отраслевая сфера интересов инвестора.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Статус инвестора (внешний, российский (нерезиденты региона), внутренний (резидент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Мотивационные основы поведения инвесторов при выборе площадки для инвестирования.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Понимание статуса желаемого инвестора позволяет определить наиболее эффективные инструменты воздействия на него, включая выбор уровня СМИ (зарубежный, федеральный, региональный, местный), выбор дополнительного иностранного языка для публикации информации о регионе в информационно-телекоммуникационной сети Интернет, информационных бюллетенях, буклетах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5163" w:history="1">
        <w:r>
          <w:rPr>
            <w:rFonts w:ascii="Calibri" w:hAnsi="Calibri" w:cs="Calibri"/>
            <w:color w:val="0000FF"/>
          </w:rPr>
          <w:t>таблице 26</w:t>
        </w:r>
      </w:hyperlink>
      <w:r>
        <w:rPr>
          <w:rFonts w:ascii="Calibri" w:hAnsi="Calibri" w:cs="Calibri"/>
        </w:rPr>
        <w:t xml:space="preserve"> определены наиболее эффективные инструменты воздействия на целевых инвесторов в зависимости от их статуса.</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207" w:name="Par5161"/>
      <w:bookmarkEnd w:id="207"/>
      <w:r>
        <w:rPr>
          <w:rFonts w:ascii="Calibri" w:hAnsi="Calibri" w:cs="Calibri"/>
        </w:rPr>
        <w:t>Таблица 26</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08" w:name="Par5163"/>
      <w:bookmarkEnd w:id="208"/>
      <w:r>
        <w:rPr>
          <w:rFonts w:ascii="Calibri" w:hAnsi="Calibri" w:cs="Calibri"/>
        </w:rPr>
        <w:t>Инструменты воздействия на целевых инвесторов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зависимости от их статуса</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jc w:val="center"/>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757"/>
        <w:gridCol w:w="3118"/>
        <w:gridCol w:w="4762"/>
      </w:tblGrid>
      <w:tr w:rsidR="00703D06">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Горизонт планирования</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Приоритеты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Основные инструменты воздействия</w:t>
            </w:r>
          </w:p>
        </w:tc>
      </w:tr>
      <w:tr w:rsidR="00703D06">
        <w:tc>
          <w:tcPr>
            <w:tcW w:w="175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Краткосрочная перспектива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внутренние инвесторы (резиденты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информационно-коммуникационная сеть Интернет, федеральные и региональные СМИ</w:t>
            </w:r>
          </w:p>
        </w:tc>
      </w:tr>
      <w:tr w:rsidR="00703D06">
        <w:tc>
          <w:tcPr>
            <w:tcW w:w="175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российские инвесторы (нерезиденты Смоленской области)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информационно-коммуникационная сеть Интернет, федеральные СМИ, презентационная деятельность, рейтинги</w:t>
            </w:r>
          </w:p>
        </w:tc>
      </w:tr>
      <w:tr w:rsidR="00703D06">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 перспектива</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внешние инвесторы из стран Западной Европы и Азии</w:t>
            </w:r>
          </w:p>
        </w:tc>
        <w:tc>
          <w:tcPr>
            <w:tcW w:w="4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информационно-коммуникационная сеть Интернет, презентационная деятельность, рейтинги</w:t>
            </w:r>
          </w:p>
        </w:tc>
      </w:tr>
    </w:tbl>
    <w:p w:rsidR="00703D06" w:rsidRDefault="00703D06">
      <w:pPr>
        <w:widowControl w:val="0"/>
        <w:autoSpaceDE w:val="0"/>
        <w:autoSpaceDN w:val="0"/>
        <w:adjustRightInd w:val="0"/>
        <w:spacing w:after="0" w:line="240" w:lineRule="auto"/>
        <w:jc w:val="center"/>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отраслевых приоритетов развития региона позволяет более качественно подходить к выбору экономической направленности презентационной деятельности региона, включая участие в специализированных отраслевых выставках, форумах. К приоритетным отраслям экономики Смоленской области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машиностроение;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промышленность производства композитных, химических и нефтехимических материалов;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приборостроение и электротехника;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производство стройматериалов и деревообработка;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транспортно-логистический комплекс;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мясо-молочное животноводство, включая переработку;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медицина;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туризм.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11643" w:history="1">
        <w:r>
          <w:rPr>
            <w:rFonts w:ascii="Calibri" w:hAnsi="Calibri" w:cs="Calibri"/>
            <w:color w:val="0000FF"/>
          </w:rPr>
          <w:t>приложениях 12</w:t>
        </w:r>
      </w:hyperlink>
      <w:r>
        <w:rPr>
          <w:rFonts w:ascii="Calibri" w:hAnsi="Calibri" w:cs="Calibri"/>
        </w:rPr>
        <w:t xml:space="preserve">, </w:t>
      </w:r>
      <w:hyperlink w:anchor="Par11958" w:history="1">
        <w:r>
          <w:rPr>
            <w:rFonts w:ascii="Calibri" w:hAnsi="Calibri" w:cs="Calibri"/>
            <w:color w:val="0000FF"/>
          </w:rPr>
          <w:t>13</w:t>
        </w:r>
      </w:hyperlink>
      <w:r>
        <w:rPr>
          <w:rFonts w:ascii="Calibri" w:hAnsi="Calibri" w:cs="Calibri"/>
        </w:rPr>
        <w:t xml:space="preserve"> приведены основные российские и мировые выставки с учетом приоритетных отраслей экономики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Знание мотивационных основ поведения инвесторов при выборе площадки для инвестирования позволит наиболее эффективно нивелировать негативные черты экономики региона за счет качественного продвижения наиболее сильных и важных для инвестора сторон Смоленской области. К сильным сторонам Смоленской области с точки зрения инвестиционной привлекательности,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близость к московской агломерации и границе РФ с Белоруссией;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развитая транспортная инфраструктура (автомобильная и железнодорожная);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магистральных нефте- и газопроводов;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комплекса культурно-исторических ценностей;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экологически чистых территорий;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сырьевых ресурсов: леса, торфа, природного камня;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высокая доля неиспользуемых сельскохозяйственных площадей;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качественные человеческие ресурсы;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избыточная энергообеспеченность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научно-производственной базы.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инструментами маркетинга имиджа Смоленской области должны стать коммуникационные мероприятия и средства, демонстрирующие открытость территории для контактов и позволяющие внешним субъектам лучше узнать ее, удостовериться в существенности имеющихся у нее преимуществ.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09" w:name="Par5201"/>
      <w:bookmarkEnd w:id="209"/>
      <w:r>
        <w:rPr>
          <w:rFonts w:ascii="Calibri" w:hAnsi="Calibri" w:cs="Calibri"/>
        </w:rPr>
        <w:t>13.1. Группы мероприятий по информационной поддержке</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результатов внедрения стандарта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информационной поддержке результатов внедрения Стандарта в Смоленской области должны проводиться по четырем основным направлениям: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Мероприятия по созданию благоприятного имиджа в информационно-телекоммуникационной сети Интернет.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Мероприятия по созданию благоприятного имиджа в печатных средствах массовой информации.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Презентационная деятельность, включая выпуск информационных бюллетеней, буклетов.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Работа с рейтинговыми агентствами.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10" w:name="Par5210"/>
      <w:bookmarkEnd w:id="210"/>
      <w:r>
        <w:rPr>
          <w:rFonts w:ascii="Calibri" w:hAnsi="Calibri" w:cs="Calibri"/>
        </w:rPr>
        <w:t>Мероприятия по созданию благоприятного имиджа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информационно-телекоммуникационной сети Интернет</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созданию благоприятного имиджа в информационно-телекоммуникационной сети Интернет, прежде всего, включают в себя дальнейшее развитие специализированного многоязычного Интернет-портала "Инвестиционный портал Смоленской области" и публикацию ежегодных отчетов о реализации Инвестиционной стратегии региона на данном портале и на сайте Администрации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11" w:name="Par5215"/>
      <w:bookmarkEnd w:id="211"/>
      <w:r>
        <w:rPr>
          <w:rFonts w:ascii="Calibri" w:hAnsi="Calibri" w:cs="Calibri"/>
        </w:rPr>
        <w:t>Мероприятия по созданию благоприятного имиджа в средствах</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массовой информации (как печатных, так и Интернет-изданиях)</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Возможна публикация информации, отражающей успехи по результатам реализации ключевых мер при реализации Инвестиционной стратегии Смоленской области, статей об инвестиционных возможностях Смоленской области, выступлений на радио и телевидении, о присвоении Смоленской области кредитных рейтингов, а также анонсов запланированных мероприятий, которые положительно повлияют на формирование деловой среды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созданию благоприятного имиджа в печатных средствах массовой информации включают в себя публикации в зарубежных, федеральных и региональных СМИ: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федеральные и региональные СМИ: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Медиа холдинг "ИнтерФакс";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Медиа холдинг "РИА новости";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Медиа холдинг "ИТАР ТАСС";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Медиа холдинг "Российская газета";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Медиа холдинг "РБК";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Медиа холдинг "Коммерсантъ-холдинг";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"Рабочий путь Смоленск";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"Смоленская газета";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"АиФ";</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"Комсомольская правда";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Журнал "О чем говорит Смоленск";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Журнал "Портфель";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"Город ньюз" (GorodNews).</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12" w:name="Par5235"/>
      <w:bookmarkEnd w:id="212"/>
      <w:r>
        <w:rPr>
          <w:rFonts w:ascii="Calibri" w:hAnsi="Calibri" w:cs="Calibri"/>
        </w:rPr>
        <w:t>Презентационная деятельность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Презентационная деятельность включает в себя участие в основных международных и региональных форумах, выставках, круглых столах, бизнес-миссиях и т.д. Основные мероприятия приведены в </w:t>
      </w:r>
      <w:hyperlink w:anchor="Par5241" w:history="1">
        <w:r>
          <w:rPr>
            <w:rFonts w:ascii="Calibri" w:hAnsi="Calibri" w:cs="Calibri"/>
            <w:color w:val="0000FF"/>
          </w:rPr>
          <w:t>таблице 27</w:t>
        </w:r>
      </w:hyperlink>
      <w:r>
        <w:rPr>
          <w:rFonts w:ascii="Calibri" w:hAnsi="Calibri" w:cs="Calibri"/>
        </w:rPr>
        <w:t>.</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13" w:name="Par5239"/>
      <w:bookmarkEnd w:id="213"/>
      <w:r>
        <w:rPr>
          <w:rFonts w:ascii="Calibri" w:hAnsi="Calibri" w:cs="Calibri"/>
        </w:rPr>
        <w:t>Таблица 27</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14" w:name="Par5241"/>
      <w:bookmarkEnd w:id="214"/>
      <w:r>
        <w:rPr>
          <w:rFonts w:ascii="Calibri" w:hAnsi="Calibri" w:cs="Calibri"/>
        </w:rPr>
        <w:t>Перечень основных форумов, рекомендуемых для участия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представителей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5613"/>
        <w:gridCol w:w="1871"/>
        <w:gridCol w:w="1757"/>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Место проведения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Сроки проведения</w:t>
            </w:r>
          </w:p>
        </w:tc>
      </w:tr>
      <w:tr w:rsidR="00703D06">
        <w:tc>
          <w:tcPr>
            <w:tcW w:w="969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215" w:name="Par5248"/>
            <w:bookmarkEnd w:id="215"/>
            <w:r>
              <w:rPr>
                <w:rFonts w:ascii="Calibri" w:hAnsi="Calibri" w:cs="Calibri"/>
              </w:rPr>
              <w:t>2014 год</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конгресс Центрального федерального округа "TransCargo"</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Калуга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27.03.2014</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VIII Международный конгресс "Открытая Россия: инвестиции в регионы как фактор роста экономики"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21.03.2014</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 международный форум по поддержке малых и средних предприятий России и Китая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05.06.2014</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Экономический конгресс "ЕС - Германия - Украина - Россия - 2014"</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Берлин, Германия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07.07.2014</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Техническая выставка СИГРЭ - 2014</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Париж, Франция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25 - 27 августа 2014</w:t>
            </w:r>
          </w:p>
        </w:tc>
      </w:tr>
      <w:tr w:rsidR="00703D06">
        <w:tc>
          <w:tcPr>
            <w:tcW w:w="969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216" w:name="Par5269"/>
            <w:bookmarkEnd w:id="216"/>
            <w:r>
              <w:rPr>
                <w:rFonts w:ascii="Calibri" w:hAnsi="Calibri" w:cs="Calibri"/>
              </w:rPr>
              <w:t>2015 год (план)</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Международный конгресс "Открытая Россия"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(уточняется)</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конгресс Центрального федерального округа "TransCargo"</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(уточняется)</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Петербургский экономический форум - 2015</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Санкт-Петербург</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18 - 20 июня 2015</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Форум "Индустриальные проекты в России"</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Москва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(уточняется)</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Международный инвестиционный форум "Сочи - 2015"</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Сочи</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(уточняется)</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Ганноверская ярмарка (Hannover Messe)</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Ганновер, Германия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13 - 17 апреля 2015 г.</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Второе Российско-Китайское ЭКСПО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Харбин, КНР</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июнь - июль 2015 г.</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56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71-я Международная техническая ярмарка (INTERNATIONAL TECHNICAL FAIR)</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Пловдив, Республика Болгария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 сентября - 3 октября 2015 г.</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17" w:name="Par5303"/>
      <w:bookmarkEnd w:id="217"/>
      <w:r>
        <w:rPr>
          <w:rFonts w:ascii="Calibri" w:hAnsi="Calibri" w:cs="Calibri"/>
        </w:rPr>
        <w:t>Работа с рейтинговыми агентствами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Работа с рейтинговыми агентствами подразумевает тесное сотрудничество органов исполнительной власти Смоленской области и специализированной организации по привлечению инвестиций и работе с инвесторами с сотрудниками рейтинговых агентств по предоставлению необходимой для анализа информации о социально-экономическом положении Смоленской области и инвестиционных процессах, происходящих в регионе. Основными рейтинговыми агентствами России и мира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Fitch Ratings;</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Standard &amp; Poor's;</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"Эксперт 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РИА Рейтинг;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Moody's Interfax Rating Agency;</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Рус-Рейтинг;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Национальное рейтинговое агентство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необходимо отметить, что в текущем году (ориентировочно май 2014 г.) появится новый Национальный рейтинг состояния инвестиционного климата в российских регионах, который готовят "Агентство стратегических инициатив", совместно с ведущими деловыми объединениями (Деловая Россия, ОПОРА, ТПП, РСПП и т.д.). Данный рейтинг позволит оценить результативность "дорожных карт" Национальной предпринимательской инициативы и эффективность внедрения регионального инвестиционного Стандарта в каждом субъекте РФ. Инвестиционный климат будет оцениваться по трем критериям: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Программы нефинансовой поддержки малого бизнеса.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Обеспеченность и доступ к инвестиционной инфраструктуре.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Программы финансовой поддержки малого бизнеса.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Предполагается, что с 2015 года в систему оценки попадут все субъекты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18" w:name="Par5319"/>
      <w:bookmarkEnd w:id="218"/>
      <w:r>
        <w:rPr>
          <w:rFonts w:ascii="Calibri" w:hAnsi="Calibri" w:cs="Calibri"/>
        </w:rPr>
        <w:t>13.2. Предлагаемые мероприятия по продвижению бренда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 инвестиционной привлекательности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5326" w:history="1">
        <w:r>
          <w:rPr>
            <w:rFonts w:ascii="Calibri" w:hAnsi="Calibri" w:cs="Calibri"/>
            <w:color w:val="0000FF"/>
          </w:rPr>
          <w:t>таблице 28</w:t>
        </w:r>
      </w:hyperlink>
      <w:r>
        <w:rPr>
          <w:rFonts w:ascii="Calibri" w:hAnsi="Calibri" w:cs="Calibri"/>
        </w:rPr>
        <w:t xml:space="preserve"> представлены основные мероприятия, необходимые для поддержки результатов внедрения Стандарта, кратность их проведения и ориентировочная стоимость</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19" w:name="Par5324"/>
      <w:bookmarkEnd w:id="219"/>
      <w:r>
        <w:rPr>
          <w:rFonts w:ascii="Calibri" w:hAnsi="Calibri" w:cs="Calibri"/>
        </w:rPr>
        <w:t>Таблица 28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20" w:name="Par5326"/>
      <w:bookmarkEnd w:id="220"/>
      <w:r>
        <w:rPr>
          <w:rFonts w:ascii="Calibri" w:hAnsi="Calibri" w:cs="Calibri"/>
        </w:rPr>
        <w:t>Мероприятия по продвижению бренда и инвестиционной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привлекательности Смоленской области (начало)</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510"/>
        <w:gridCol w:w="4365"/>
        <w:gridCol w:w="1361"/>
        <w:gridCol w:w="737"/>
        <w:gridCol w:w="964"/>
        <w:gridCol w:w="960"/>
        <w:gridCol w:w="960"/>
        <w:gridCol w:w="960"/>
        <w:gridCol w:w="960"/>
        <w:gridCol w:w="960"/>
      </w:tblGrid>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2019</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21" w:name="Par5339"/>
            <w:bookmarkEnd w:id="221"/>
            <w:r>
              <w:rPr>
                <w:rFonts w:ascii="Calibri" w:hAnsi="Calibri" w:cs="Calibri"/>
              </w:rPr>
              <w:t>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Информационно-телекоммуникационная сеть Интернет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Публикация ежегодного отчета о ходе реализации Инвестиционной стратегии Смоленской области на официальном сайте Администрации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Публикация ежегодного отчета о ходе реализации Инвестиционной стратегии Смоленской области на Инвестиционном портале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специализированного многоязычного Интернет-портала "Инвестиционный портал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22" w:name="Par5379"/>
            <w:bookmarkEnd w:id="222"/>
            <w:r>
              <w:rPr>
                <w:rFonts w:ascii="Calibri" w:hAnsi="Calibri" w:cs="Calibri"/>
              </w:rPr>
              <w:t>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Презентационная деятельность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информационных бюллетеней, буклетов (тираж 150 шт.) на иностранных языках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выпусков</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информационных бюллетеней, буклетов (тираж 150 шт.) на русском языке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выпусков</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международных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8</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региональных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4</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6</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8</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23" w:name="Par5429"/>
            <w:bookmarkEnd w:id="223"/>
            <w:r>
              <w:rPr>
                <w:rFonts w:ascii="Calibri" w:hAnsi="Calibri" w:cs="Calibri"/>
              </w:rPr>
              <w:t>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Средства массовой информации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Федеральные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Региональные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публикаций</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24" w:name="Par5459"/>
            <w:bookmarkEnd w:id="224"/>
            <w:r>
              <w:rPr>
                <w:rFonts w:ascii="Calibri" w:hAnsi="Calibri" w:cs="Calibri"/>
              </w:rPr>
              <w:t>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Рейтинги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Работа с рейтинговыми агентствами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w:t>
            </w: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25" w:name="Par5479"/>
            <w:bookmarkEnd w:id="225"/>
            <w:r>
              <w:rPr>
                <w:rFonts w:ascii="Calibri" w:hAnsi="Calibri" w:cs="Calibri"/>
              </w:rPr>
              <w:t>5.</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Итого постоянная активность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bl>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26" w:name="Par5490"/>
      <w:bookmarkEnd w:id="226"/>
      <w:r>
        <w:rPr>
          <w:rFonts w:ascii="Calibri" w:hAnsi="Calibri" w:cs="Calibri"/>
        </w:rPr>
        <w:t>Таблица 28</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27" w:name="Par5492"/>
      <w:bookmarkEnd w:id="227"/>
      <w:r>
        <w:rPr>
          <w:rFonts w:ascii="Calibri" w:hAnsi="Calibri" w:cs="Calibri"/>
        </w:rPr>
        <w:t>Мероприятия по продвижению бренда и инвестиционной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привлекательности Смоленской области (окончание)</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510"/>
        <w:gridCol w:w="4365"/>
        <w:gridCol w:w="1361"/>
        <w:gridCol w:w="951"/>
        <w:gridCol w:w="951"/>
        <w:gridCol w:w="951"/>
        <w:gridCol w:w="951"/>
        <w:gridCol w:w="951"/>
        <w:gridCol w:w="951"/>
        <w:gridCol w:w="1361"/>
        <w:gridCol w:w="1191"/>
        <w:gridCol w:w="1247"/>
      </w:tblGrid>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мероприятия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2024</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2025</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2026</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Количество выходов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Средняя стоимость 1 выхода, тыс. руб.</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Всего стоимость за период, тыс. руб.</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28" w:name="Par5507"/>
            <w:bookmarkEnd w:id="228"/>
            <w:r>
              <w:rPr>
                <w:rFonts w:ascii="Calibri" w:hAnsi="Calibri" w:cs="Calibri"/>
              </w:rPr>
              <w:t>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Информационно-телекоммуникационная сеть Интернет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Публикация ежегодного отчета о ходе реализации Инвестиционной стратегии Смоленской области на официальном сайте Администрации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Публикация ежегодного отчета о ходе реализации Инвестиционной стратегии Смоленской области на Инвестиционном портале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(не позднее 1 марта)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Сопровождение специализированного многоязычного Интернет-портала "Инвестиционный портал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1150,0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29" w:name="Par5555"/>
            <w:bookmarkEnd w:id="229"/>
            <w:r>
              <w:rPr>
                <w:rFonts w:ascii="Calibri" w:hAnsi="Calibri" w:cs="Calibri"/>
              </w:rPr>
              <w:t>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Презентационная деятельность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информационных бюллетеней, буклетов (тираж 150 шт.) на иностранных языках</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выпусков</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96,0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Выпуск информационных бюллетеней, буклетов (тираж 150 шт.) на русском языке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выпусков</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96,0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международных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9</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537,9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50024,7</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Участие представителей Смоленской области в региональных выставках, форумах, конференциях, посвященных инвестиционной деятельности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9</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менее 13</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178,1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16563,3</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30" w:name="Par5615"/>
            <w:bookmarkEnd w:id="230"/>
            <w:r>
              <w:rPr>
                <w:rFonts w:ascii="Calibri" w:hAnsi="Calibri" w:cs="Calibri"/>
              </w:rPr>
              <w:t>3.</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Печатные средства массовой информации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Федеральные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1450,0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33350,0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3.2.</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Региональные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количество публикаций</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138</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2760,0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31" w:name="Par5651"/>
            <w:bookmarkEnd w:id="231"/>
            <w:r>
              <w:rPr>
                <w:rFonts w:ascii="Calibri" w:hAnsi="Calibri" w:cs="Calibri"/>
              </w:rPr>
              <w:t>4.</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Рейтинги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4.1.</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Работа с рейтинговыми агентствами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3270,0</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outlineLvl w:val="4"/>
              <w:rPr>
                <w:rFonts w:ascii="Calibri" w:hAnsi="Calibri" w:cs="Calibri"/>
              </w:rPr>
            </w:pPr>
            <w:bookmarkStart w:id="232" w:name="Par5675"/>
            <w:bookmarkEnd w:id="232"/>
            <w:r>
              <w:rPr>
                <w:rFonts w:ascii="Calibri" w:hAnsi="Calibri" w:cs="Calibri"/>
              </w:rPr>
              <w:t>5.</w:t>
            </w:r>
          </w:p>
        </w:tc>
        <w:tc>
          <w:tcPr>
            <w:tcW w:w="4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Итого постоянная активность</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9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40722</w:t>
            </w:r>
          </w:p>
        </w:tc>
      </w:tr>
    </w:tbl>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233" w:name="Par5692"/>
      <w:bookmarkEnd w:id="233"/>
      <w:r>
        <w:rPr>
          <w:rFonts w:ascii="Calibri" w:hAnsi="Calibri" w:cs="Calibri"/>
        </w:rPr>
        <w:t>Приложение 1</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ПЕРЕЧЕНЬ</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НАИБОЛЕЕ ЗНАЧИМЫХ ИНВЕСТИЦИОННЫХ ПРОЕКТОВ</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СМОЛЕНСКОЙ ОБЛАСТИ</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234" w:name="Par5698"/>
      <w:bookmarkEnd w:id="234"/>
      <w:r>
        <w:rPr>
          <w:rFonts w:ascii="Calibri" w:hAnsi="Calibri" w:cs="Calibri"/>
        </w:rPr>
        <w:t>Таблица 29</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Перечень наиболее значимых инвестиционных проектов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2891"/>
        <w:gridCol w:w="3572"/>
        <w:gridCol w:w="1361"/>
        <w:gridCol w:w="1928"/>
        <w:gridCol w:w="1474"/>
        <w:gridCol w:w="1474"/>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инвестора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проекта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Статус проекта</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Объем финансирования, млрд. руб.</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Срок реализации проекта, гг.</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Социальный эффект, рабочих мест</w:t>
            </w:r>
          </w:p>
        </w:tc>
      </w:tr>
      <w:tr w:rsidR="00703D06">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35" w:name="Par5710"/>
            <w:bookmarkEnd w:id="235"/>
            <w:r>
              <w:rPr>
                <w:rFonts w:ascii="Calibri" w:hAnsi="Calibri" w:cs="Calibri"/>
              </w:rPr>
              <w:t>Внебюджетные реализуемые проекты</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"Стеклозавод Ворга" (Ершичский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индустриально-технологический парк "ВОРГА"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12,74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"Игоревский деревообрабатывающий комбинат" (сменили организационно-правовую форму) (Холм-Жирковский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"Реконструкция и расширение ОАО "Игоревский деревообрабатывающий комбинат". Строительство завода древесноволокнистых плит (MDF). Развитие инфраструктуры в муниципальном образовании "Холм-Жирковский район"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2009 - 2016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560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"Альфа Транс Инвест"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транспортно-логистического производственного комплекса "Стабна"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2012 - 2017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"Гагарин-Останкино" (г. Гагарин)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мясоперерабатывающего 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2012 - 2015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"Новая жизнь" (Дорогобужский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"Птицеферма для откорма индейки"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н/д</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"Золотая нива" (Дорогобужский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животноводческого комплекса на 4150 голов крупного рогатого скота"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ИП Роздухов Максим Евгеньевич (г.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торгово-развлекательного центра "Макси"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"Тандер" (г. Краснодар)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распределительного центра"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1450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"ЭГГЕР ДРЕВПРОДУКТ ГАГАРИН" (Гагаринский район) при участии иностранного капитала группы компаний ЭГГЕР (Австрийская Республика)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производства облицованной ДСП (КТ 4)" и "Организация производства линии импрегнирования (пропитки) декоративной бумаги"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41</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ГК "АГРО ГЖАТЬ ИНВЕСТ"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молочно-товарного комплекса на 1200 коров для производства товарного молока с последующей глубокой переработкой и производство продукции растениеводства"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"ЮрАл" (Сафоновский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и ввод в эксплуатацию мясокомбината "Сафоновский"</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560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"Брокерская компания "Меркурий"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таможенного терминала"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0,68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"РославльМясо"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свиноводческого комплекса на 2240 голов продуктивных свиноматок в д. Колпеница"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0,63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41</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"Грейнлюкс"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производства растительных масел из рапса и подсолнечника мощностью до 48000 тонн в год в г. Рославле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0,48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"КРОЛЪ и К"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"Организация кролиководческой фермы на 3249 голов кроликоматок"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"Фрезениус Медикл Кеа Холдинг" (г.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в г. Смоленске современного диализного центра" ООО "Фрезениус Медикл Кеа Холдинг"</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"АКВАВИТА" (Смоленский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мебельной фабрики под торговой маркой "BRICKLAER"</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"Белорусская Производственная Компания" (Краснинский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производства для розлива соков"</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2012 - 2016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ЗАО "Группа Компаний "Бастион" (Ярцевский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"Ярцевская швейная фабрика "БАСТИОН"</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"Авиатоп" (Сафоновский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"Производство органических растворителей для лакокрасочной продукции и авиационного бензина"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0,15 (1-я очередь)</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2014 - 2016 гг. (планируется 2-я очередь - 2017 - 2020)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50 (1-я очередь)</w:t>
            </w:r>
          </w:p>
        </w:tc>
      </w:tr>
      <w:tr w:rsidR="00703D06">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36" w:name="Par5851"/>
            <w:bookmarkEnd w:id="236"/>
            <w:r>
              <w:rPr>
                <w:rFonts w:ascii="Calibri" w:hAnsi="Calibri" w:cs="Calibri"/>
              </w:rPr>
              <w:t>Внебюджетные проекты, готовящиеся к реализации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"ЭГГЕР ДРЕВПРОДУКТ ГАГАРИН"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"Завод МДФ"</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н/д</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"Рославльский вагоноремонтный завод" (Рославльский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"Вагоностроительный комплекс"</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2015 - 2017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н/д</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"ВирмонтФуд" (Темкинский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"Открытие птицеводческого комплекса по выращиванию мясных бройлеров в Смоленской области"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542</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"РОСРЕМСТРОЙ" (Вяземский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деревни "Южная"</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"РФК групп" (Ельнинский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"Модернизация кирпичного завода в городе Ельне"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ИП Близученко Андрей Леонидович (г. Рославль)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рославльского хлебозавода"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2014 - 2017</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ООО "Мустанг Технологии Кормления" (Гагаринский район)</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комбикормового завода"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ГК "Росатом"</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"Сооружение Смоленской АЭС-2 по проекту ВВЭР-ТОИ"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подготовка к реализации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280,0</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н/д</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н/д</w:t>
            </w:r>
          </w:p>
        </w:tc>
      </w:tr>
      <w:tr w:rsidR="00703D06">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37" w:name="Par5908"/>
            <w:bookmarkEnd w:id="237"/>
            <w:r>
              <w:rPr>
                <w:rFonts w:ascii="Calibri" w:hAnsi="Calibri" w:cs="Calibri"/>
              </w:rPr>
              <w:t>Внебюджетные инфраструктурные проекты</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ПС 220 кВ Смоленск-1 1 x 125</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ВЛ 220 кВ Восток - Дровнино 110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ПС-110 кВ Новосельцы</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участков ВЛ-175, ВЛ-178: 2-цепная отпайка на ПС 110/6/6 "Миловидово"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"МРСК Центр"</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ВЛ-851, ВЛ-852. 2-цепная ВЛ-110 от ПС-220 кВ Смоленск-1 на ПС-110 кВ Диффузион, ПС-110 кВ Козино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газопровод (закольцовка) ТЭЦ-2 г. Смоленск (4,4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"Шумячский район". Газификация пгт. Шумячи (8,8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"Ельнинский район". Газопровод низкого давления в дер. Пронино (6,5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 Ершичский район. Газоснабжение жилых домов в с. Ворга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"Ярцевский район". Межпоселковый газопровод высокого давления до дер. Зайцево Ярцевского района (16,0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Руднянский район. Межпоселковый газопровод до дер. Казимирово Руднянского района (15,0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"Газпром газораспределение Смоленск"</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"Вяземский район". Межпоселковый газопровод высокого давления до дер. Черное, дер. Артемово, ст. Семлево Вяземского района (участок до дер. Черное) (1 очередь) (17,0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13154"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38" w:name="Par5993"/>
            <w:bookmarkEnd w:id="238"/>
            <w:r>
              <w:rPr>
                <w:rFonts w:ascii="Calibri" w:hAnsi="Calibri" w:cs="Calibri"/>
              </w:rPr>
              <w:t>Бюджетные (в том числе инфраструктурные) проекты</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Средства бюджета Смоленской области</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перинатального центра в г. Смоленске" (г. Смоленск)</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второй очереди смоленского областного государственного бюджетного учреждения "Реабилитационный центр для детей, подростков и инвалидов молодого возраста с ограниченными возможностями "Вишенки"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"Вяземский район". Крытый каток с искусственным льдом в г. Вязьме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2014 - 2015</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"город Десногорск". Универсальный спортивный комплекс с ледовым катком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0,4, в т.ч. 0,07 - федеральный бюджет</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 Ершичский район. Детский сад в с. Ершичи на 150 мест</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0,09</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2012 - 2014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"Темкинский район". Строительство физкультурно-оздоровительного комплекса в с. Темкино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пристройки к зданию ОГБУЗ "Поликлиника N 2" в г. Смоленске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0,08</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"Вяземский район". Выполнение строительно-монтажных работ на межпоселковом газопроводе высокого давления от г. Вязьмы до дер. Поляново, с. Семлево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 Ершичский район. Выполнение строительно-монтажных работ на межпоселковом газопроводе высокого давления от с. Ершичи до с. Кузьмичи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2013 - 2014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"Кардымовский район". Выполнение строительно-монтажных работ на межпоселковом газопроводе высокого давления от дер. Мольково до деревень Ермачки, Волочня, Варваровщина (8,0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0,01</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"Кардымовский район". Выполнение строительно-монтажных работ на межпоселковом газопроводе высокого давления от с. Новодугино до дер. Бурцево, с. Тесово, дер. Татарка Новодугинского района (27,6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"Ярцевский район". Выполнение строительно-монтажных работ на межпоселковом газопроводе высокого давления от дер. Суетово Ярцевского района до дер. Пушкино Сафоновского района (14,0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"Хиславичский район". Выполнение строительно-монтажных работ на межпоселковом газопроводе высокого давления от дер. Мартыновка - дер. Черепово до дер. Никулино Хиславичского района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"Ярцевский район". Выполнение строительно-монтажных работ на межпоселковом газопроводе от дер. Мирополье до дер. Репино Ярцевского района (6,0 км)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"Кардымовский район". Строительство путепровода через железную дорогу Москва - Минск на автомобильной дороге Ермачки - Сапочево - Красные Горы - Барсучки</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0,13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2014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"Сафоновский район". Реконструкция автомобильной дороги Смоленск - Вязьма - Зубцов (участок Старой Смоленской дороги Смоленск - Вязьма) км 117 + 400 - км 123 + 700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0,2</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город Смоленск. Проектирование и строительство локальных очистных сооружений ОГКУЗ "Смоленская областная клиническая психиатрическая больница"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0,06</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 (с участием федерального бюджета)</w:t>
            </w:r>
          </w:p>
        </w:tc>
        <w:tc>
          <w:tcPr>
            <w:tcW w:w="35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муниципальное образование "Гагаринский район". Детский сад на 240 мест в г. Гагарине</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реализуется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0,25, в т.ч. - 0,2 - федеральный бюджет; 0,007 - областной бюджет</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bl>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239" w:name="Par6125"/>
      <w:bookmarkEnd w:id="239"/>
      <w:r>
        <w:rPr>
          <w:rFonts w:ascii="Calibri" w:hAnsi="Calibri" w:cs="Calibri"/>
        </w:rPr>
        <w:t>Приложение 2</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ИЗМЕНЕНИЕ</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ОЦЕНКИ ПОЛНОТЫ ВНЕДРЕНИЯ ПОЛОЖЕНИЙ СТАНДАРТА В СМОЛЕНСКОЙ</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ОБЛАСТИ (ЗА ПЕРИОД С 01.10.13 ПО 01.03.14)</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240" w:name="Par6131"/>
      <w:bookmarkEnd w:id="240"/>
      <w:r>
        <w:rPr>
          <w:rFonts w:ascii="Calibri" w:hAnsi="Calibri" w:cs="Calibri"/>
        </w:rPr>
        <w:t>Таблица 30</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Изменение оценки полноты внедрения положений Стандарта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Смоленской области (за период с 01.10.13 по 01.03.14) </w:t>
      </w:r>
      <w:hyperlink w:anchor="Par6137" w:history="1">
        <w:r>
          <w:rPr>
            <w:rFonts w:ascii="Calibri" w:hAnsi="Calibri" w:cs="Calibri"/>
            <w:color w:val="0000FF"/>
          </w:rPr>
          <w:t>&lt;42&gt;</w:t>
        </w:r>
      </w:hyperlink>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41" w:name="Par6137"/>
      <w:bookmarkEnd w:id="241"/>
      <w:r>
        <w:rPr>
          <w:rFonts w:ascii="Calibri" w:hAnsi="Calibri" w:cs="Calibri"/>
        </w:rPr>
        <w:t>&lt;42&gt; Оценка по методике ООО "Ки Партнер".</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191"/>
        <w:gridCol w:w="2438"/>
        <w:gridCol w:w="1587"/>
        <w:gridCol w:w="907"/>
        <w:gridCol w:w="907"/>
        <w:gridCol w:w="1247"/>
        <w:gridCol w:w="1587"/>
      </w:tblGrid>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Пункт Стандарта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Положения стандарта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 оценки соответствия требованиям Стандарта на 1 октября 2013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Оценка на 1 октября 2013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Оценка на 1 марта 2014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Изменение в баллах</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Результат оценки соответствия требованиям Стандарта на 1 марта 2014</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Утверждение высшими органами государственной власти субъекта Российской Федерации Инвестиционной стратегии региона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 (документ пока не утвержден)</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и ежегодное обновление Плана создания инвестиционных объектов и объектов инфраструктуры в регионе</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Ежегодное послание Губернатора "Инвестиционный климат и инвестиционная политика"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НПА о защите прав инвесторов и механизмах поддержки инвестиционной деятельности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Совета по улучшению инвестиционного климата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специализированной организации по привлечению инвестиций и работе с инвесторами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доступной инфраструктуры для размещения производственных и иных объектов инвесторов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Создание специализированного двуязычного Интернет-портала об инвестиционной деятельности в субъекте Российской Федерации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в субъекте Российской Федерации единого регламента сопровождения инвестиционных проектов по принципу "одного окна"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высшим должностным лицом субъекта Российской Федерации инвестиционной декларации региона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полностью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Принятие нормативного акта, регламентирующего процедуру оценки регулирующего воздействия принятых и принимаемых нормативно-правовых актов, затрагивающих предпринимательскую деятельность</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полностью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частично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Включение представителей потребителей энергоресурсов в состав органа исполнительной власти субъекта РФ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полностью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канала (каналов) прямой связи инвесторов и руководства субъекта Российской Федерации для оперативного решения возникающих в процессе инвестиционной деятельности проблем и вопросов</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полностью соответствует</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полностью соответствует</w:t>
            </w:r>
          </w:p>
        </w:tc>
      </w:tr>
      <w:tr w:rsidR="00703D06">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Сумма</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115</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49</w:t>
            </w:r>
          </w:p>
        </w:tc>
        <w:tc>
          <w:tcPr>
            <w:tcW w:w="15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начальной оценке в Смоленской области было внедрено 44% требований Стандарта, по оценке на 1 марта - 77%.</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пять месяцев могут быть признаны внедренными уже 9 пунктов Стандарта.</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242" w:name="Par6266"/>
      <w:bookmarkEnd w:id="242"/>
      <w:r>
        <w:rPr>
          <w:rFonts w:ascii="Calibri" w:hAnsi="Calibri" w:cs="Calibri"/>
        </w:rPr>
        <w:t>Приложение 3</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243" w:name="Par6268"/>
      <w:bookmarkEnd w:id="243"/>
      <w:r>
        <w:rPr>
          <w:rFonts w:ascii="Calibri" w:hAnsi="Calibri" w:cs="Calibri"/>
          <w:b/>
          <w:bCs/>
        </w:rPr>
        <w:t>ПРОГНОЗНЫЕ СЦЕНАРИИ</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РАЗВИТИЯ МИРОВОЙ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44" w:name="Par6271"/>
      <w:bookmarkEnd w:id="244"/>
      <w:r>
        <w:rPr>
          <w:rFonts w:ascii="Calibri" w:hAnsi="Calibri" w:cs="Calibri"/>
        </w:rPr>
        <w:t>Прогнозы Министерства экономического развития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Министерством экономического развития Российской Федерации (далее - МЭР РФ) в 2013 году подготовлены </w:t>
      </w:r>
      <w:hyperlink r:id="rId152" w:history="1">
        <w:r>
          <w:rPr>
            <w:rFonts w:ascii="Calibri" w:hAnsi="Calibri" w:cs="Calibri"/>
            <w:color w:val="0000FF"/>
          </w:rPr>
          <w:t>Прогноз</w:t>
        </w:r>
      </w:hyperlink>
      <w:r>
        <w:rPr>
          <w:rFonts w:ascii="Calibri" w:hAnsi="Calibri" w:cs="Calibri"/>
        </w:rPr>
        <w:t xml:space="preserve"> долгосрочного социально-экономического развития Российской Федерации на период до 2030 года </w:t>
      </w:r>
      <w:hyperlink w:anchor="Par6276" w:history="1">
        <w:r>
          <w:rPr>
            <w:rFonts w:ascii="Calibri" w:hAnsi="Calibri" w:cs="Calibri"/>
            <w:color w:val="0000FF"/>
          </w:rPr>
          <w:t>&lt;43&gt;</w:t>
        </w:r>
      </w:hyperlink>
      <w:r>
        <w:rPr>
          <w:rFonts w:ascii="Calibri" w:hAnsi="Calibri" w:cs="Calibri"/>
        </w:rPr>
        <w:t xml:space="preserve"> и соответствующая Пояснительная записка </w:t>
      </w:r>
      <w:hyperlink w:anchor="Par6277" w:history="1">
        <w:r>
          <w:rPr>
            <w:rFonts w:ascii="Calibri" w:hAnsi="Calibri" w:cs="Calibri"/>
            <w:color w:val="0000FF"/>
          </w:rPr>
          <w:t>&lt;44&gt;</w:t>
        </w:r>
      </w:hyperlink>
      <w:r>
        <w:rPr>
          <w:rFonts w:ascii="Calibri" w:hAnsi="Calibri" w:cs="Calibri"/>
        </w:rPr>
        <w:t>. Данный прогноз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 В рамках данного прогноза также обозначены сценарии развития мировой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45" w:name="Par6276"/>
      <w:bookmarkEnd w:id="245"/>
      <w:r>
        <w:rPr>
          <w:rFonts w:ascii="Calibri" w:hAnsi="Calibri" w:cs="Calibri"/>
        </w:rPr>
        <w:t>&lt;43&gt; http://www.economy.gov.ru/wps/wcm/connect/economylib4/mer/activity/sections/macro/prognoz/doc20130325_06.</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46" w:name="Par6277"/>
      <w:bookmarkEnd w:id="246"/>
      <w:r>
        <w:rPr>
          <w:rFonts w:ascii="Calibri" w:hAnsi="Calibri" w:cs="Calibri"/>
        </w:rPr>
        <w:t>&lt;44&gt; http://www.economy.gov.ru/wps/wcm/connect/economylib4/mer/activity/sections/macro/prognoz/doc20131108_5.</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прогнозе представлены 2 сценария развития событий со своей динамикой изменения мировой экономики </w:t>
      </w:r>
      <w:hyperlink w:anchor="Par6285" w:history="1">
        <w:r>
          <w:rPr>
            <w:rFonts w:ascii="Calibri" w:hAnsi="Calibri" w:cs="Calibri"/>
            <w:color w:val="0000FF"/>
          </w:rPr>
          <w:t>(таблица 31)</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"Базовый" - прогнозируются достаточно благоприятные тенденции роста населения и производительности труда, а также возможности мягкого разрешения долгового кризиса в ключевых странах в среднесрочный период;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"Вариант А" - прогнозируется возможность замедления темпов роста мировой экономики, вызванного более жесткой необходимостью решения проблем уменьшения и ликвидации глобальных финансовых, валютно-кредитных и структурных диспропорций, накопившихся во время фазы подъема длинного цикла, начавшейся во второй половине ХХ века.</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47" w:name="Par6283"/>
      <w:bookmarkEnd w:id="247"/>
      <w:r>
        <w:rPr>
          <w:rFonts w:ascii="Calibri" w:hAnsi="Calibri" w:cs="Calibri"/>
        </w:rPr>
        <w:t>Таблица 31</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48" w:name="Par6285"/>
      <w:bookmarkEnd w:id="248"/>
      <w:r>
        <w:rPr>
          <w:rFonts w:ascii="Calibri" w:hAnsi="Calibri" w:cs="Calibri"/>
        </w:rPr>
        <w:t>Темпы прироста мировой экономики по вариантам прогноза</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680"/>
        <w:gridCol w:w="1531"/>
        <w:gridCol w:w="1077"/>
        <w:gridCol w:w="1077"/>
        <w:gridCol w:w="1077"/>
        <w:gridCol w:w="1077"/>
        <w:gridCol w:w="1077"/>
        <w:gridCol w:w="2041"/>
      </w:tblGrid>
      <w:tr w:rsidR="00703D06">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Сценарий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 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2011 - 2015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2016 - 2020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2021 - 2025 гг.</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2026 - 2030 гг.</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2030/2013, раз</w:t>
            </w:r>
          </w:p>
        </w:tc>
      </w:tr>
      <w:tr w:rsidR="00703D06">
        <w:tc>
          <w:tcPr>
            <w:tcW w:w="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Мир</w:t>
            </w:r>
          </w:p>
        </w:tc>
        <w:tc>
          <w:tcPr>
            <w:tcW w:w="1531"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Базовый</w:t>
            </w:r>
          </w:p>
        </w:tc>
        <w:tc>
          <w:tcPr>
            <w:tcW w:w="1077" w:type="dxa"/>
            <w:vMerge w:val="restart"/>
            <w:tcBorders>
              <w:top w:val="single" w:sz="4" w:space="0" w:color="auto"/>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07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107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c>
          <w:tcPr>
            <w:tcW w:w="107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107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2041" w:type="dxa"/>
            <w:tcBorders>
              <w:top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1,8</w:t>
            </w:r>
          </w:p>
        </w:tc>
      </w:tr>
      <w:tr w:rsidR="00703D06">
        <w:tc>
          <w:tcPr>
            <w:tcW w:w="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531"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w:t>
            </w:r>
          </w:p>
        </w:tc>
        <w:tc>
          <w:tcPr>
            <w:tcW w:w="1077" w:type="dxa"/>
            <w:vMerge/>
            <w:tcBorders>
              <w:top w:val="single" w:sz="4" w:space="0" w:color="auto"/>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07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c>
          <w:tcPr>
            <w:tcW w:w="107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07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107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c>
          <w:tcPr>
            <w:tcW w:w="2041" w:type="dxa"/>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1,6</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Авторами прогноза сценарий "Базовый" выбран основным. Динамика мирового ВВП в 2013 - 2030 гг. оценивается на уровне 3,4 - 3,5%. В среднесрочном периоде сценарий предполагает постепенные структурные реформы и оптимальные темпы фискальной консолидации, не подрывающие возможности роста. Среднегодовой глобальный рост в период до 2020 года составит 3,7%. Динамика развивающихся стран будет опережать динамику развитых, однако этот разрыв будет сокращаться. К концу второго десятилетия глобальный экономический рост замедлится до 3 - 3,5%.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Экономический глобальный рост будет достигнут главным образом за счет развивающихся стран, прежде всего Китая и Индии, на долю которых будет приходиться более 40% всего мирового роста. Суммарно экономики этих двух стран в 2010 году обеспечили около 19% мирового выпуска, в 2020 году их размер превысит 26% от мирового ВВП, а к 2030 году - более 30%. Рост экономики Китая в период до 2030 года замедлится и составит в среднем 5,5% в год по сравнению со среднегодовым ростом на 10% в 1980 - 2010 годах. В базовом сценарии предполагается, что экономика развитых стран будет расти в среднем на 1,5 - 2% в год. При этом удельный вес стран Еврозоны, США и Японии в общем объеме мировой экономики снизится с 40% в 2010 году до 28% в 2030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Динамика мировой торговли предполагает постепенное сокращение существующих дисбалансов. Отсутствие роста мировых цен на сырьевые товары сократит торговый профицит в странах-экспортерах сырья. При этом будет наблюдаться дальнейшее увеличение доли прямых инвестиций, направляемых в сектор услуг. Развитие транснациональных компаний станет одной из ведущих стратегий встраивания развивающихся стран в мировую экономику. В то же время развитые страны будут оставаться нетто-донорами прямых иностранных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долгосрочной перспективе проблема изменения возрастного состава населения в пользу более пожилых возрастов и соответственно роста коэффициента демографической нагрузки будет актуальна для большинства стран, но наиболее остро ситуация сложится в Японии и странах Евросоюза. Неблагоприятные демографические тренды будут ослаблять экономический рост и в развивающихся странах, в Индии и Бразилии рост трудовых ресурсов уже в середине второго десятилетия не превысит 1,5 процента.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мнению авторов, произойдет сдвиг мирового производства в Тихоокеанский и Индоазиатский регионы. В основном варианте прогноза объем мировой экономики к 2030 году увеличится по сравнению с 2013 годом в 1,8 раза.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ряда негативных рисков, которые могут вести к более низкому росту мировой экономики, представлена в сценарии 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"Вариант А" предполагает возможность замедления темпов роста мировой экономики на фоне относительного ослабления тенденций финансовой глобализации, переориентации ранее доминировавших в мировой экономике направлений движения капитала 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 Факторами более существенного торможения экономического роста в 2013 - 2030 гг. также могут стать более значительное сокращение численности трудоспособного населения в ведущих развитых странах, замедление темпов роста производительности труда и усиление экологических ограничений.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со сценарием за период 2013 - 2020 гг. среднегодовой рост мировой экономики замедлится до 2,9%, а ее объем в 2030 году увеличится по отношению к 2013 году в 1,6 раза.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49" w:name="Par6319"/>
      <w:bookmarkEnd w:id="249"/>
      <w:r>
        <w:rPr>
          <w:rFonts w:ascii="Calibri" w:hAnsi="Calibri" w:cs="Calibri"/>
        </w:rPr>
        <w:t>Прогнозы Национального совета по разведке США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Национальный совет по разведке США (National Intelligence Council) в декабре 2012 года подготовил доклад "Глобальные тенденции 2030. Альтернативные миры" (Global Trends 2030: Alternative Worlds) </w:t>
      </w:r>
      <w:hyperlink w:anchor="Par6323" w:history="1">
        <w:r>
          <w:rPr>
            <w:rFonts w:ascii="Calibri" w:hAnsi="Calibri" w:cs="Calibri"/>
            <w:color w:val="0000FF"/>
          </w:rPr>
          <w:t>&lt;45&gt;</w:t>
        </w:r>
      </w:hyperlink>
      <w:r>
        <w:rPr>
          <w:rFonts w:ascii="Calibri" w:hAnsi="Calibri" w:cs="Calibri"/>
        </w:rPr>
        <w:t xml:space="preserve"> с прогнозами и различными вариантами развития мировой экономики, геополитики и других сфер жизни вплоть до 2030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50" w:name="Par6323"/>
      <w:bookmarkEnd w:id="250"/>
      <w:r>
        <w:rPr>
          <w:rFonts w:ascii="Calibri" w:hAnsi="Calibri" w:cs="Calibri"/>
        </w:rPr>
        <w:t>&lt;45&gt; http://www.dni.gov/files/documents/GlobalTrends_2030.pdf.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прогнозам авторов меньше чем через 20 лет население Земли увеличится до 8,3 миллиарда человек, что приведет к увеличению на 35% спроса на продукты питания, почти на 100% на воду и энергоносители. В связи с этим авторы предупреждают о возрастающей опасности конфликтов в странах с ограниченными природными ресурсами (водой и землей) и молодым населением: Ближний Восток, африканские страны южнее Сахары и Юго-Восточная Азия. Список десяти самых населенных стран в 2030 году возглавят Индия и Китай. США окажутся на третьем месте, Россия будет замыкать первую десятку.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2030 прогнозируется наступление расцвета Китая, который потянет за собой всю Азию, обгоняя США и Европу не только по числу населения, но и объему ВВП, военным расходам и инвестициям в новые технологии. Экономики Европы, Японии и России ожидает упадок.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Экономический рост в развивающихся странах также будет стимулироваться за счет технологических инноваций. Ожидается перемещение технологического центра тяжести с Запада на Восток и Юг. Данный процесс, по мнению авторов, уже начался. Основные сферы технологических инноваций в 2030: информационные технологии, автоматизация и производственные технологии, медицинские технологии.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докладе представлены 4 сценария развития событий со своей динамикой развития мировой экономики </w:t>
      </w:r>
      <w:hyperlink w:anchor="Par6336" w:history="1">
        <w:r>
          <w:rPr>
            <w:rFonts w:ascii="Calibri" w:hAnsi="Calibri" w:cs="Calibri"/>
            <w:color w:val="0000FF"/>
          </w:rPr>
          <w:t>(таблица 32)</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Stalled Engines ("Заглохшие моторы") - продолжает прогрессировать стагнация в мировой экономике, отмечается резкий рост протекционизма и спад в процессах глобализации;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Gini-Out-of-the-Bottle ("Джин вырвался из бутылки") - эскалация социально-экономической и политической напряженности, рост антагонизма между ведущими игроками на мировой арене;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Nonstate World ("Корпоративный мир") - в мире возрастает роль и влияние транснациональных корпораций, роль государств в решении глобальных вопросов отходит на второй план;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Fusion ("Слияние") - ведущие страны мира договариваются о постоянном сотрудничестве и взаимопомощи в сферах геополитики и экономики.</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51" w:name="Par6334"/>
      <w:bookmarkEnd w:id="251"/>
      <w:r>
        <w:rPr>
          <w:rFonts w:ascii="Calibri" w:hAnsi="Calibri" w:cs="Calibri"/>
        </w:rPr>
        <w:t>Таблица 32</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52" w:name="Par6336"/>
      <w:bookmarkEnd w:id="252"/>
      <w:r>
        <w:rPr>
          <w:rFonts w:ascii="Calibri" w:hAnsi="Calibri" w:cs="Calibri"/>
        </w:rPr>
        <w:t>Характеристика сценариев развития</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984"/>
        <w:gridCol w:w="1077"/>
        <w:gridCol w:w="1531"/>
        <w:gridCol w:w="1417"/>
        <w:gridCol w:w="2154"/>
        <w:gridCol w:w="1474"/>
      </w:tblGrid>
      <w:tr w:rsidR="00703D06">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сценария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Исходная точка 2010 г.</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 "Заглохшие моторы" в 2030 году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 "Джин вырвался из бутылки" в 2030 году</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 "Корпоративный мир" в 2030 году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 "Слияние" в 2030 году</w:t>
            </w:r>
          </w:p>
        </w:tc>
      </w:tr>
      <w:tr w:rsidR="00703D06">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трлн. долл. США (в долл. США 2010)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67,3</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112,2</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123</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133,1</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наиболее вероятного сценария авторами указан вариант "Заглохшие моторы". В соответствии с ним мир ожидает усугубление коррупции, рост общественных беспорядков, ослабление финансовых систем и общих процессов глобализации. Ухудшение жизни населения приведет к продолжению социальных волнений в развитых странах. Ближний Восток и Южная Азия останутся самыми нестабильными регионами в предстоящие два десятилетия. При наиболее негативном сценарии возможны крупномасштабные военные операции, что существенно будет способствовать общей дестабилизации ситуации в мире. Рост стоимости труда в азиатских странах сделает невыгодным размещение производств в них для международных корпораций. Это может привести к "жесткой посадке" экономики Китая с 8 процентов в начале прогнозируемого периода до приблизительно 3 процентов к 2030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сценариев развития эксперты определили главные мировые тренды: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"Возрастание влияния отдельных индивидуумов" - большая часть населения земного шара начинает жить с определенным уровнем достатка, происходит уменьшение количества безработных и бедных людей, возрастает глобальная доля среднего класса;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многополярности в мире" - лидерами по объему ВВП, численности населения, военным расходам и технологическим затратам станут страны Азии, а влияние США отойдет на второй план;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"Серьезные демографические сдвиги" - подразумевается рост численности населения с 7,1 млрд. человек в 2012 году до 8,3 в 2030 году параллельно с усугублением процесса старения населения;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спроса на еду, воду и энергию" - спрос на продовольствие в среднем вырастет на 35%, на воду - на 40%, на энергоносители - на 50%, что приведет к их серьезному дефициту в некоторых регионах.</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53" w:name="Par6358"/>
      <w:bookmarkEnd w:id="253"/>
      <w:r>
        <w:rPr>
          <w:rFonts w:ascii="Calibri" w:hAnsi="Calibri" w:cs="Calibri"/>
        </w:rPr>
        <w:t>Прогнозы Всемирного банка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Всемирным банком (The World Bank) в 2013 году подготовлен доклад "Перспективы мирового развития: Капитал для будущего" (Global Development Horizons: Capital for the Future: Saving and Investment in an Interdependent World) </w:t>
      </w:r>
      <w:hyperlink w:anchor="Par6362" w:history="1">
        <w:r>
          <w:rPr>
            <w:rFonts w:ascii="Calibri" w:hAnsi="Calibri" w:cs="Calibri"/>
            <w:color w:val="0000FF"/>
          </w:rPr>
          <w:t>&lt;46&gt;</w:t>
        </w:r>
      </w:hyperlink>
      <w:r>
        <w:rPr>
          <w:rFonts w:ascii="Calibri" w:hAnsi="Calibri" w:cs="Calibri"/>
        </w:rPr>
        <w:t>, в котором анализируются глобальные тенденции в сфере инвестиций, сбережений и потоков капитала, а также их вероятная динамика в ближайшие два десятилетия.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54" w:name="Par6362"/>
      <w:bookmarkEnd w:id="254"/>
      <w:r>
        <w:rPr>
          <w:rFonts w:ascii="Calibri" w:hAnsi="Calibri" w:cs="Calibri"/>
        </w:rPr>
        <w:t>&lt;46&gt; http://siteresources.worldbank.org/EXTDECPROSPECTS/Resources/476882-1368197310537/CapitalForTheFuture.pdf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мнению авторов, численность населения планеты вырастет с 7 миллиардов в 2010 году до 8,5 миллиардов человек к 2030 году с одновременным усугублением процессов старения. К 2030 году совокупное население развивающихся стран вырастет более чем на 1,4 миллиарда человек, и в полной мере выгоды от этих демографических изменений будут ощущать страны Южной Азии и отдельные регионы Африки.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ближайшей перспективе внимание инвесторов переключится на рынки развивающихся стран из-за наличия широких возможностей для инвестиций, в том числе и в сферы здравоохранения и образования. В 2030 году доминирующее положение в сфере мировых инвестиций будет принадлежать таким странам, как Китай и Индия - совокупно на них будет приходиться 38% валового объема мировых инвестиций. По мнению авторов, половина общемировых объемов капитала - 158 трлн. долларов США (в долларах США 2010 года), будет приходиться на развивающиеся страны (сегодня - менее одной трети). К 2030 году доля развивающихся стран в объеме мировых инвестиций вырастет в три раза и достигнет трех пятых от общемирового значения (в 2000 году она составляла лишь одну пятую).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докладе представлены 2 сценария развития событий </w:t>
      </w:r>
      <w:hyperlink w:anchor="Par6372" w:history="1">
        <w:r>
          <w:rPr>
            <w:rFonts w:ascii="Calibri" w:hAnsi="Calibri" w:cs="Calibri"/>
            <w:color w:val="0000FF"/>
          </w:rPr>
          <w:t>(таблица 33)</w:t>
        </w:r>
      </w:hyperlink>
      <w:r>
        <w:rPr>
          <w:rFonts w:ascii="Calibri" w:hAnsi="Calibri" w:cs="Calibri"/>
        </w:rPr>
        <w:t>, строящихся на различной скорости сближения развитых и развивающихся стран (интенсивность сближения оценивается по показателям душевого дохода и темпов структурных преобразований):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"Постепенное сближение" - прогнозируется умеренная скорость сближения развитых и развивающихся стран и постепенное развитие мировой экономики. Темпы роста мирового ВВП ожидаются на уровне 2,6% в год (для развивающихся стран - 4,8%), объем в 2030 году - 105 трлн. долл. США (в долл. США 2010 года). Вклад развивающихся стран в мировой ВВП к 2015 году составит 73% и вырастет до 87% в 2030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"Быстрое сближение" - прогнозируется высокая скорость сближения развитых и развивающихся стран и интенсивные изменения в мировой экономике (технологические рывки, промышленная революция и т.п.). Темпы роста мирового ВВП ожидаются на уровне 3% в год (для развивающихся стран - 5,5%), объем в 2030 году - 114 трлн. долл. США (в долл. США 2010 года). Вклад развивающихся стран в мировой ВВП к 2015 году составит 73% и вырастет до 93% в 2030 году. Сценарий отличается относительно более высокими объемами инвестиций в развивающиеся страны за счет более высокой производительности труда и определенных эффектов от финансового развития и структурных преобразований.</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55" w:name="Par6370"/>
      <w:bookmarkEnd w:id="255"/>
      <w:r>
        <w:rPr>
          <w:rFonts w:ascii="Calibri" w:hAnsi="Calibri" w:cs="Calibri"/>
        </w:rPr>
        <w:t>Таблица 33</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56" w:name="Par6372"/>
      <w:bookmarkEnd w:id="256"/>
      <w:r>
        <w:rPr>
          <w:rFonts w:ascii="Calibri" w:hAnsi="Calibri" w:cs="Calibri"/>
        </w:rPr>
        <w:t>Характеристика сценариев развития</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175"/>
        <w:gridCol w:w="2154"/>
        <w:gridCol w:w="2154"/>
        <w:gridCol w:w="2154"/>
      </w:tblGrid>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сценария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Исходная точка 2010 г.</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 "Постепенное сближение" в 2030 году</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 "Быстрое сближение" в 2030 году</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трлн. долл. США (в долл. США 2010)</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114</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инвестиций, трлн. долл. США (в долл. США 2010)</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13,5</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26,7</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обоих сценариях принимается, что доля занятых в секторе услуг в развивающихся странах к 2030 году превысит 60 процентов от общей численности занятых, при этом на эти страны будет приходиться более 50 процентов от объема мировой торговли. Данный процесс будет сопровождаться соответствующими изменениями в численности народонаселения, что обусловит рост спроса на инфраструктурные услуги. К 2030 году прогнозируется ежегодный объем капиталовложений в инфраструктуру развивающихся стран на уровне 866 млрд. долл. США (в долл. США 2010 года). И хотя данный объем составит в 2030 году только 3% от общего объема инвестиций в развивающиеся страны, но сама долгосрочная природа данных инвестиций будет нести с собой соответствующие риски и проблемы финансирования. В целом авторы оценивают потребности в финансировании объектов инфраструктуры в развивающихся странах в период с 2013 по 2030 год в размере 14,6 трлн. долл. США (в долл. США 2010 года).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57" w:name="Par6389"/>
      <w:bookmarkEnd w:id="257"/>
      <w:r>
        <w:rPr>
          <w:rFonts w:ascii="Calibri" w:hAnsi="Calibri" w:cs="Calibri"/>
        </w:rPr>
        <w:t>Прогнозы независимой компании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"Роланд Бергер Стрэтеджи Консалтентс"</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Компания "Роланд Бергер Стрэтеджи Консалтентс" (Roland Berger Strategy Consultants, Германия) была основана в 1967 году и сегодня является одним из лидеров мирового рынка стратегического консалтинга. Компанией в 2011 году подготовлен доклад "TREND COMPENDIUM 2030" </w:t>
      </w:r>
      <w:hyperlink w:anchor="Par6394" w:history="1">
        <w:r>
          <w:rPr>
            <w:rFonts w:ascii="Calibri" w:hAnsi="Calibri" w:cs="Calibri"/>
            <w:color w:val="0000FF"/>
          </w:rPr>
          <w:t>&lt;47&gt;</w:t>
        </w:r>
      </w:hyperlink>
      <w:r>
        <w:rPr>
          <w:rFonts w:ascii="Calibri" w:hAnsi="Calibri" w:cs="Calibri"/>
        </w:rPr>
        <w:t xml:space="preserve"> с анализом и прогнозами развития мира до 2030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58" w:name="Par6394"/>
      <w:bookmarkEnd w:id="258"/>
      <w:r>
        <w:rPr>
          <w:rFonts w:ascii="Calibri" w:hAnsi="Calibri" w:cs="Calibri"/>
        </w:rPr>
        <w:t>&lt;47&gt; http://www.rolandberger.com/expertise/trend_compendium_2030/index.html</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мнению авторов, к 2030 году численность населения на земном шаре вырастет до 8,3 млрд. человек, из которых на долю развивающихся стран будет приходиться 7 млрд. Продолжительность жизни будет расти, средний возраст увеличится на 5,1 лет, достигнув 34 лет к 2030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Авторы прогнозируют рост глобального потребления энергии на 26% к 2030 году. Половина человечества будет жить в условиях сильного недостатка чистой воды. Запасы некоторых редких химических элементов будут исчерпаны, значительно возрастет спрос на пищу. Городская доля населения продолжит увеличиваться и к 2030 4,9 миллиарда человек, или 59% населения в мире, будут жить в городах.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Мировой ВВП, по мнению авторов, будет расти со скоростью 4% в год и к 2030 году составит 135 трлн. долл. США (62 трлн. долл. США в 2010 году). Объемы мирового экспорта будут расти со скоростью 5,3% в год и к 2030 году достигнут 45 трлн. долл. США, что составит 33% мирового ВВП (26% сегодня).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важных индикаторов для оценки интенсивности процессов глобализации в мировой экономике является объем прямых иностранных инвестиций. Авторами предполагается, что темпы роста данного показателя к 2030 году будут сопоставимы с темпами роста мирового ВВП. Самые сильные развивающиеся рынки сегодняшнего дня станут к 2030 новыми экономическими супердержавами. Крупнейшими странами по объемам привлечения прямых иностранных инвестиций станут Китай и Индия.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развитых странах совокупный объем ВВП, как ожидают, будет ежегодно расти на 1,8% и достигнет 59 трлн. долл. США в 2030. Доля же развитых стран в мировом ВВП резко уменьшится с 66% сегодня приблизительно к 44% в 2030. Совокупный ВВП развивающихся стран, как ожидают, будет расти на 6,7% ежегодно и достигнет 76 трлн. долл. США (56% мирового ВВП) в 2030 году. Совокупный экспорт будет расти на 11% в год, в 2030 году доля развивающихся стран в нем будет составлять 73% (53% сегодня).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ВВП стран группы БРИК будет расти на 7,9% в год. В результате страны группы БРИК произведут 36% мирового ВВП в 2030 году (18% сегодня). Реальный темп роста ВВП Китая будет самым сильным в 2030 году и составит 9,0%, за ним следует Индия с 8,4%, далее Бразилия (5,5%) и Россия (5,3%). В 2030 году все страны БРИК будут одними из самых привлекательных стран для прямых иностранных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2030 году некоторые развивающиеся страны, такие как Китай и Индия, станут крупными конкурентами развитым странам в области инноваций и прорывных технологий. Например, Китай в ближайшие 20 лет будет активно одерживать лидерство в областях, таких как безвредные для окружающей среды технологии и альтернативная энергия.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мнению авторов, к основным трендам инновационного развития на ближайшие 20 лет можно отнести: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дальнейшую миниатюризацию продуктов. Сектор нанотехнологий будет одним из наиболее быстро растущих в течение следующих нескольких лет. Нанотехнологии окажут влияние на многие отрасли промышленности (информационные и коммуникационные технологии, производство автомобилей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областей наук о жизни, включая биотехнологию, медицину и фармацевтические препараты;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инновационных технологий в направлении предотвращения проблем будущего: дефицит ресурсов, изменение климата и т.п.</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59" w:name="Par6408"/>
      <w:bookmarkEnd w:id="259"/>
      <w:r>
        <w:rPr>
          <w:rFonts w:ascii="Calibri" w:hAnsi="Calibri" w:cs="Calibri"/>
        </w:rPr>
        <w:t>Выводы по прогнозным сценариям развития мировой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Авторы докладов из МЭР РФ, Национального совета по разведке США, Всемирного банка в целом солидарны в своих прогнозах в части консервативного развития событий по темпам прироста мировой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МЭР РФ: "Вариант А" - увеличение мирового ВВП в 1,6 раза при среднегодовом уровне роста в 2,9%;</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Национальный совет по разведке США: "Заглохшие моторы" - увеличение мирового ВВП в 1,57 раза при среднегодовом уровне роста в 2,8%;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Всемирный банк: "Постепенное сближение" - увеличение мирового ВВП в 1,67 раз при среднегодовом уровне роста в 2,6%.</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Авторы докладов из МЭР РФ, Национального совета по разведке США, Всемирного банка также солидарны в своих прогнозах в части умеренно-оптимистичного развития событий по темпам прироста мировой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МЭР РФ: "Базовый" - увеличение мирового ВВП в 1,8 раза при среднегодовом уровне роста в 3,4 - 3,5%;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Национальный совет по разведке США: "Корпоративный мир" - увеличение мирового ВВП в 1,82 раза при среднегодовом уровне роста в 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Всемирный банк: "Быстрое сближение" - увеличение мирового ВВП в 1,81 раза при среднегодовом уровне роста в 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Мнение специалистов компании "Роланд Бергер Стрэтеджи Консалтентс" об увеличении мирового ВВП в 2,17 раза при среднегодовом уровне роста в 4% может рассматриваться как альтернативный вариант оптимистичного развития мировой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Вывод: В соответствии с вышеприведенными результатами анализа различных вариантов сценариев развития мировой экономики в качестве основных предлагается использовать сценарии "Прогноза долгосрочного социально-экономического развития Российской Федерации на период до 2030 года", подготовленного МЭР РФ. Учитывая факт оперативной корректировки и поддержания актуальности исходных данных, указанные сценарии могут в среднесрочной перспективе отражать более объективную картину развития мировой и отечественной экономики.</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260" w:name="Par6425"/>
      <w:bookmarkEnd w:id="260"/>
      <w:r>
        <w:rPr>
          <w:rFonts w:ascii="Calibri" w:hAnsi="Calibri" w:cs="Calibri"/>
        </w:rPr>
        <w:t>Приложение 4</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261" w:name="Par6427"/>
      <w:bookmarkEnd w:id="261"/>
      <w:r>
        <w:rPr>
          <w:rFonts w:ascii="Calibri" w:hAnsi="Calibri" w:cs="Calibri"/>
          <w:b/>
          <w:bCs/>
        </w:rPr>
        <w:t>ПРОГНОЗНЫЕ СЦЕНАРИИ</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РАЗВИТИЯ РОССИЙСКОЙ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62" w:name="Par6430"/>
      <w:bookmarkEnd w:id="262"/>
      <w:r>
        <w:rPr>
          <w:rFonts w:ascii="Calibri" w:hAnsi="Calibri" w:cs="Calibri"/>
        </w:rPr>
        <w:t>Прогнозы Министерства экономического развития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Министерством экономического развития Российской Федерации в 2013 году подготовлены </w:t>
      </w:r>
      <w:hyperlink r:id="rId153" w:history="1">
        <w:r>
          <w:rPr>
            <w:rFonts w:ascii="Calibri" w:hAnsi="Calibri" w:cs="Calibri"/>
            <w:color w:val="0000FF"/>
          </w:rPr>
          <w:t>Прогноз</w:t>
        </w:r>
      </w:hyperlink>
      <w:r>
        <w:rPr>
          <w:rFonts w:ascii="Calibri" w:hAnsi="Calibri" w:cs="Calibri"/>
        </w:rPr>
        <w:t xml:space="preserve"> долгосрочного социально-экономического развития Российской Федерации на период до 2030 года </w:t>
      </w:r>
      <w:hyperlink w:anchor="Par6435" w:history="1">
        <w:r>
          <w:rPr>
            <w:rFonts w:ascii="Calibri" w:hAnsi="Calibri" w:cs="Calibri"/>
            <w:color w:val="0000FF"/>
          </w:rPr>
          <w:t>&lt;48&gt;</w:t>
        </w:r>
      </w:hyperlink>
      <w:r>
        <w:rPr>
          <w:rFonts w:ascii="Calibri" w:hAnsi="Calibri" w:cs="Calibri"/>
        </w:rPr>
        <w:t xml:space="preserve"> и соответствующая Пояснительная записка </w:t>
      </w:r>
      <w:hyperlink w:anchor="Par6436" w:history="1">
        <w:r>
          <w:rPr>
            <w:rFonts w:ascii="Calibri" w:hAnsi="Calibri" w:cs="Calibri"/>
            <w:color w:val="0000FF"/>
          </w:rPr>
          <w:t>&lt;49&gt;</w:t>
        </w:r>
      </w:hyperlink>
      <w:r>
        <w:rPr>
          <w:rFonts w:ascii="Calibri" w:hAnsi="Calibri" w:cs="Calibri"/>
        </w:rPr>
        <w:t>. Данный прогноз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63" w:name="Par6435"/>
      <w:bookmarkEnd w:id="263"/>
      <w:r>
        <w:rPr>
          <w:rFonts w:ascii="Calibri" w:hAnsi="Calibri" w:cs="Calibri"/>
        </w:rPr>
        <w:t>&lt;48&gt; http://www.economy.gov.ru/wps/wcm/connect/economylib4/mer/activity/sections/macro/prognoz/doc20130325_06.</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64" w:name="Par6436"/>
      <w:bookmarkEnd w:id="264"/>
      <w:r>
        <w:rPr>
          <w:rFonts w:ascii="Calibri" w:hAnsi="Calibri" w:cs="Calibri"/>
        </w:rPr>
        <w:t>&lt;49&gt; http://www.economy.gov.ru/wps/wcm/connect/economylib4/mer/activity/sections/macro/prognoz/doc20131108_5.</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427D1E">
      <w:pPr>
        <w:widowControl w:val="0"/>
        <w:autoSpaceDE w:val="0"/>
        <w:autoSpaceDN w:val="0"/>
        <w:adjustRightInd w:val="0"/>
        <w:spacing w:after="0" w:line="240" w:lineRule="auto"/>
        <w:ind w:firstLine="540"/>
        <w:jc w:val="both"/>
        <w:rPr>
          <w:rFonts w:ascii="Calibri" w:hAnsi="Calibri" w:cs="Calibri"/>
        </w:rPr>
      </w:pPr>
      <w:hyperlink r:id="rId154" w:history="1">
        <w:r w:rsidR="00703D06">
          <w:rPr>
            <w:rFonts w:ascii="Calibri" w:hAnsi="Calibri" w:cs="Calibri"/>
            <w:color w:val="0000FF"/>
          </w:rPr>
          <w:t>Прогноз</w:t>
        </w:r>
      </w:hyperlink>
      <w:r w:rsidR="00703D06">
        <w:rPr>
          <w:rFonts w:ascii="Calibri" w:hAnsi="Calibri" w:cs="Calibri"/>
        </w:rPr>
        <w:t xml:space="preserve"> включает в себя три основных сценария долгосрочного развития Российской Федерации до 2030 года: консервативный, умеренно-оптимистический и форсированный (целевой). Все сценарии предполагают продолжение активных институциональных преобразований, направленных на улучшение делового климата, развитие конкуренции, повышение качества и эффективности корпоративного и государственного управления, развитие стратегического программного и проектного подхода к управлению экономикой, использование возможностей интеграции в рамках Евразийского союза и взаимодействия в рамках ВТО.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 Среднегодовые темпы роста ВВП оцениваются на уровне 2,5% в 2013 - 2030 годах. Экономика увеличится к 2030 году в 1,7 раза, реальные доходы населения возрастут в 1,9 раза, доля России в мировом ВВП уменьшится с 4% в 2012 году до 3,4% в 2030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"Умеренно-оптимистичный сценарий" (вариант 2) характеризуется дополнительными импульсами инновационного развития и усилением инвестиционной направленности экономического роста. Среднегодовые темпы роста ВВП оцениваются на уровне 3,5% в 2013 - 2030 гг., что соответствует темпам роста мировой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"Форсированный (целевой) сценарий" (вариант 3) носит прорывной характер и характеризуется форсированными темпами роста, повышенной нормой накопления частного бизнеса, созданием масштабного несырьевого экспортного сектора и значительным притоком иностранного капитала. Среднегодовые темпы роста ВВП повышаются до 5,0 - 5,3%, что повышает вес российской экономики в мировом ВВП до 5,8% к 2030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Обозначенные сценарии развития предполагают относительную стабилизацию цен на нефть и другие сырьевые ресурсы в реальном выражении. Чувствительность российской экономики к ценовым шокам носит ассиметричный характер - падение цен на нефть (газ, металлы) вызывает более сильное торможение роста, чем повышенные цены на углеводороды способны повысить темпы роста. Степень чувствительности в большей степени зависит не от структуры экономики, а от масштабов изменения курса рубля и дополнительных поддерживающих мер со стороны государства. В долгосрочной перспективе, после 2020 года, устойчивость экономики к возмущениям на сырьевых и энергетических рынках повышается.</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65" w:name="Par6444"/>
      <w:bookmarkEnd w:id="265"/>
      <w:r>
        <w:rPr>
          <w:rFonts w:ascii="Calibri" w:hAnsi="Calibri" w:cs="Calibri"/>
        </w:rPr>
        <w:t>Таблица 34</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Основные показатели прогноза социально-экономического</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развития Российской Федерации на 2011 - 2030 годы</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(среднегодовые темпы прироста, %)</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855"/>
        <w:gridCol w:w="1247"/>
        <w:gridCol w:w="907"/>
        <w:gridCol w:w="907"/>
        <w:gridCol w:w="907"/>
        <w:gridCol w:w="907"/>
        <w:gridCol w:w="907"/>
      </w:tblGrid>
      <w:tr w:rsidR="00703D06">
        <w:tc>
          <w:tcPr>
            <w:tcW w:w="38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Показатели</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Сценарии</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2011 - 2015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2016 - 2020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2021 - 2025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2026 - 2030 гг.</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2013 - 2030 гг.</w:t>
            </w:r>
          </w:p>
        </w:tc>
      </w:tr>
      <w:tr w:rsidR="00703D06">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Валовой внутренний продукт</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07" w:type="dxa"/>
            <w:tcBorders>
              <w:top w:val="single" w:sz="4" w:space="0" w:color="auto"/>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907" w:type="dxa"/>
            <w:tcBorders>
              <w:top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07" w:type="dxa"/>
            <w:tcBorders>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c>
          <w:tcPr>
            <w:tcW w:w="907" w:type="dxa"/>
            <w:tcBorders>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7,1</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w:t>
            </w:r>
          </w:p>
        </w:tc>
        <w:tc>
          <w:tcPr>
            <w:tcW w:w="907" w:type="dxa"/>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5,3</w:t>
            </w:r>
          </w:p>
        </w:tc>
      </w:tr>
      <w:tr w:rsidR="00703D06">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Промышленность</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07" w:type="dxa"/>
            <w:tcBorders>
              <w:top w:val="single" w:sz="4" w:space="0" w:color="auto"/>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w:t>
            </w:r>
          </w:p>
        </w:tc>
        <w:tc>
          <w:tcPr>
            <w:tcW w:w="907" w:type="dxa"/>
            <w:tcBorders>
              <w:top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07" w:type="dxa"/>
            <w:tcBorders>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c>
          <w:tcPr>
            <w:tcW w:w="907" w:type="dxa"/>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r>
      <w:tr w:rsidR="00703D06">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в основной капитал</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07" w:type="dxa"/>
            <w:tcBorders>
              <w:top w:val="single" w:sz="4" w:space="0" w:color="auto"/>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5,8</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5,7</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907" w:type="dxa"/>
            <w:tcBorders>
              <w:top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07" w:type="dxa"/>
            <w:tcBorders>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8,1</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4,2</w:t>
            </w:r>
          </w:p>
        </w:tc>
        <w:tc>
          <w:tcPr>
            <w:tcW w:w="907" w:type="dxa"/>
            <w:tcBorders>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5,9</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9,3</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13,8</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907" w:type="dxa"/>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8,1</w:t>
            </w:r>
          </w:p>
        </w:tc>
      </w:tr>
      <w:tr w:rsidR="00703D06">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Реальная заработная плата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07" w:type="dxa"/>
            <w:tcBorders>
              <w:top w:val="single" w:sz="4" w:space="0" w:color="auto"/>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c>
          <w:tcPr>
            <w:tcW w:w="907" w:type="dxa"/>
            <w:tcBorders>
              <w:top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07" w:type="dxa"/>
            <w:tcBorders>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w:t>
            </w:r>
          </w:p>
        </w:tc>
        <w:tc>
          <w:tcPr>
            <w:tcW w:w="907" w:type="dxa"/>
            <w:tcBorders>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6,2</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8,4</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c>
          <w:tcPr>
            <w:tcW w:w="907" w:type="dxa"/>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w:t>
            </w:r>
          </w:p>
        </w:tc>
      </w:tr>
      <w:tr w:rsidR="00703D06">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Оборот розничной торговли</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07" w:type="dxa"/>
            <w:tcBorders>
              <w:top w:val="single" w:sz="4" w:space="0" w:color="auto"/>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c>
          <w:tcPr>
            <w:tcW w:w="907" w:type="dxa"/>
            <w:tcBorders>
              <w:top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07" w:type="dxa"/>
            <w:tcBorders>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4,8</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c>
          <w:tcPr>
            <w:tcW w:w="907" w:type="dxa"/>
            <w:tcBorders>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6,6</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7,9</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5,8</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4,4</w:t>
            </w:r>
          </w:p>
        </w:tc>
        <w:tc>
          <w:tcPr>
            <w:tcW w:w="907" w:type="dxa"/>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w:t>
            </w:r>
          </w:p>
        </w:tc>
      </w:tr>
      <w:tr w:rsidR="00703D06">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Экспорт - всего (на конец периода), млрд. долл. США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07" w:type="dxa"/>
            <w:tcBorders>
              <w:top w:val="single" w:sz="4" w:space="0" w:color="auto"/>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514</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577</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718</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880</w:t>
            </w:r>
          </w:p>
        </w:tc>
        <w:tc>
          <w:tcPr>
            <w:tcW w:w="907" w:type="dxa"/>
            <w:tcBorders>
              <w:top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689</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07" w:type="dxa"/>
            <w:tcBorders>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514</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589</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798</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1095</w:t>
            </w:r>
          </w:p>
        </w:tc>
        <w:tc>
          <w:tcPr>
            <w:tcW w:w="907" w:type="dxa"/>
            <w:tcBorders>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774</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518</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622</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875</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1308</w:t>
            </w:r>
          </w:p>
        </w:tc>
        <w:tc>
          <w:tcPr>
            <w:tcW w:w="907" w:type="dxa"/>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865</w:t>
            </w:r>
          </w:p>
        </w:tc>
      </w:tr>
      <w:tr w:rsidR="00703D06">
        <w:tc>
          <w:tcPr>
            <w:tcW w:w="385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Импорт - всего (на конец периода), млрд. долл. США</w:t>
            </w:r>
          </w:p>
        </w:tc>
        <w:tc>
          <w:tcPr>
            <w:tcW w:w="1247"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907" w:type="dxa"/>
            <w:tcBorders>
              <w:top w:val="single" w:sz="4" w:space="0" w:color="auto"/>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344</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427</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544</w:t>
            </w:r>
          </w:p>
        </w:tc>
        <w:tc>
          <w:tcPr>
            <w:tcW w:w="907" w:type="dxa"/>
            <w:tcBorders>
              <w:top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658</w:t>
            </w:r>
          </w:p>
        </w:tc>
        <w:tc>
          <w:tcPr>
            <w:tcW w:w="907" w:type="dxa"/>
            <w:tcBorders>
              <w:top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512</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907" w:type="dxa"/>
            <w:tcBorders>
              <w:lef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344</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428</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587</w:t>
            </w:r>
          </w:p>
        </w:tc>
        <w:tc>
          <w:tcPr>
            <w:tcW w:w="907" w:type="dxa"/>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778</w:t>
            </w:r>
          </w:p>
        </w:tc>
        <w:tc>
          <w:tcPr>
            <w:tcW w:w="907" w:type="dxa"/>
            <w:tcBorders>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557</w:t>
            </w:r>
          </w:p>
        </w:tc>
      </w:tr>
      <w:tr w:rsidR="00703D06">
        <w:tc>
          <w:tcPr>
            <w:tcW w:w="385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ind w:firstLine="540"/>
              <w:jc w:val="both"/>
              <w:rPr>
                <w:rFonts w:ascii="Calibri" w:hAnsi="Calibri" w:cs="Calibri"/>
              </w:rPr>
            </w:pPr>
          </w:p>
        </w:tc>
        <w:tc>
          <w:tcPr>
            <w:tcW w:w="1247"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356</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575</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862</w:t>
            </w:r>
          </w:p>
        </w:tc>
        <w:tc>
          <w:tcPr>
            <w:tcW w:w="907" w:type="dxa"/>
            <w:tcBorders>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1112</w:t>
            </w:r>
          </w:p>
        </w:tc>
        <w:tc>
          <w:tcPr>
            <w:tcW w:w="907" w:type="dxa"/>
            <w:tcBorders>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771</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66" w:name="Par6591"/>
      <w:bookmarkEnd w:id="266"/>
      <w:r>
        <w:rPr>
          <w:rFonts w:ascii="Calibri" w:hAnsi="Calibri" w:cs="Calibri"/>
        </w:rPr>
        <w:t>Прогнозы Национального совета по разведке США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докладе "Глобальные тенденции 2030. Альтернативные миры" (Global Trends 2030: Alternative Worlds) </w:t>
      </w:r>
      <w:hyperlink w:anchor="Par6595" w:history="1">
        <w:r>
          <w:rPr>
            <w:rFonts w:ascii="Calibri" w:hAnsi="Calibri" w:cs="Calibri"/>
            <w:color w:val="0000FF"/>
          </w:rPr>
          <w:t>&lt;50&gt;</w:t>
        </w:r>
      </w:hyperlink>
      <w:r>
        <w:rPr>
          <w:rFonts w:ascii="Calibri" w:hAnsi="Calibri" w:cs="Calibri"/>
        </w:rPr>
        <w:t xml:space="preserve"> Национального совета по разведке США (National Intelligence Council) прогнозируется, что новые технологии добычи углеводородного сырья приведут к коллапсу нефтяных цен и сильнейшему негативному эффекту для экономик, зависимых от экспорта нефти и газа. С этой точки зрения экономика Российской Федерации названа "ахиллесовой пятой" и ее перспективы оцениваются достаточно пессимистично. Российский бюджет будет продолжать в значительной мере формироваться за счет прибыли от продажи энергетических ресурсов, а старение рабочей силы и отсутствие успехов в проектах модернизации будет тормозить общий экономический рост.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67" w:name="Par6595"/>
      <w:bookmarkEnd w:id="267"/>
      <w:r>
        <w:rPr>
          <w:rFonts w:ascii="Calibri" w:hAnsi="Calibri" w:cs="Calibri"/>
        </w:rPr>
        <w:t>&lt;50&gt; http://www.dni.gov/files/documents/GlobalTrends_2030.pdf.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2030 году прогнозируется сокращение населения Российской Федерации до 130 миллионов. Однако, по мнению авторов, главным демографическим вызовом и источником роста социальной напряженности может стать меняющийся этнический состав населения Российской Федерации. В докладе представлены три возможных сценария будущего России. Согласно первому страна становится партнером Запада, однако не на основе общих ценностей, а на расчете. Второй сценарий прогнозирует развитие конфликтных отношений Российской Федерации с другими странами. Согласно третьему Российская Федерация станет "доставляющей серьезные неприятности страной", стремящейся к доминированию в регионе за счет военного превосходства.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Вхождение Российской Федерации во Всемирную торговую организацию (ВТО) должно обеспечить существенный рост экономики: от 3% ВВП в начале периода до 11% ВВП к 2030 году. В соответствии с предложенными авторами сценариями развития событий в мире оценено ВВП России по состоянию на 2030 год </w:t>
      </w:r>
      <w:hyperlink w:anchor="Par6602" w:history="1">
        <w:r>
          <w:rPr>
            <w:rFonts w:ascii="Calibri" w:hAnsi="Calibri" w:cs="Calibri"/>
            <w:color w:val="0000FF"/>
          </w:rPr>
          <w:t>(таблица 35)</w:t>
        </w:r>
      </w:hyperlink>
      <w:r>
        <w:rPr>
          <w:rFonts w:ascii="Calibri" w:hAnsi="Calibri" w:cs="Calibri"/>
        </w:rPr>
        <w:t>.</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68" w:name="Par6600"/>
      <w:bookmarkEnd w:id="268"/>
      <w:r>
        <w:rPr>
          <w:rFonts w:ascii="Calibri" w:hAnsi="Calibri" w:cs="Calibri"/>
        </w:rPr>
        <w:t>Таблица 35</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69" w:name="Par6602"/>
      <w:bookmarkEnd w:id="269"/>
      <w:r>
        <w:rPr>
          <w:rFonts w:ascii="Calibri" w:hAnsi="Calibri" w:cs="Calibri"/>
        </w:rPr>
        <w:t>Характеристика сценариев развития для Российской Федерации</w:t>
      </w:r>
    </w:p>
    <w:p w:rsidR="00703D06" w:rsidRDefault="00703D06">
      <w:pPr>
        <w:widowControl w:val="0"/>
        <w:autoSpaceDE w:val="0"/>
        <w:autoSpaceDN w:val="0"/>
        <w:adjustRightInd w:val="0"/>
        <w:spacing w:after="0" w:line="240" w:lineRule="auto"/>
        <w:jc w:val="center"/>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984"/>
        <w:gridCol w:w="1077"/>
        <w:gridCol w:w="1531"/>
        <w:gridCol w:w="1417"/>
        <w:gridCol w:w="2154"/>
        <w:gridCol w:w="1474"/>
      </w:tblGrid>
      <w:tr w:rsidR="00703D06">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сценария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Исходная точка 2010 г.</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"Заглохшие моторы"</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"Джин вырвался из бутылки"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"Корпоративный мир"</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"Слияние"</w:t>
            </w:r>
          </w:p>
        </w:tc>
      </w:tr>
      <w:tr w:rsidR="00703D06">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трлн. долл. США (в долл. США 2010)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r>
    </w:tbl>
    <w:p w:rsidR="00703D06" w:rsidRDefault="00703D06">
      <w:pPr>
        <w:widowControl w:val="0"/>
        <w:autoSpaceDE w:val="0"/>
        <w:autoSpaceDN w:val="0"/>
        <w:adjustRightInd w:val="0"/>
        <w:spacing w:after="0" w:line="240" w:lineRule="auto"/>
        <w:jc w:val="center"/>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70" w:name="Par6617"/>
      <w:bookmarkEnd w:id="270"/>
      <w:r>
        <w:rPr>
          <w:rFonts w:ascii="Calibri" w:hAnsi="Calibri" w:cs="Calibri"/>
        </w:rPr>
        <w:t>Прогнозы независимой компании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"Роланд Бергер Стрэтеджи Консалтентс"</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докладе "TREND COMPENDIUM 2030" </w:t>
      </w:r>
      <w:hyperlink w:anchor="Par6622" w:history="1">
        <w:r>
          <w:rPr>
            <w:rFonts w:ascii="Calibri" w:hAnsi="Calibri" w:cs="Calibri"/>
            <w:color w:val="0000FF"/>
          </w:rPr>
          <w:t>&lt;51&gt;</w:t>
        </w:r>
      </w:hyperlink>
      <w:r>
        <w:rPr>
          <w:rFonts w:ascii="Calibri" w:hAnsi="Calibri" w:cs="Calibri"/>
        </w:rPr>
        <w:t xml:space="preserve"> отмечается, что совокупный объем ВВП стран группы БРИК будет увеличиваться на 7,9% в год. В 2030 году страны группы БРИК совместно произведут 36% глобального ВВП (сегодня лишь 18%). Наиболее сильный ежегодный темп роста ВВП прогнозируется в Китае - 9,0%, за ним следует Индия - 8,4%, Бразилия - 5,5%. Для Российской Федерации прогнозируется ежегодный рост ВВП в размере 5,3%.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71" w:name="Par6622"/>
      <w:bookmarkEnd w:id="271"/>
      <w:r>
        <w:rPr>
          <w:rFonts w:ascii="Calibri" w:hAnsi="Calibri" w:cs="Calibri"/>
        </w:rPr>
        <w:t>&lt;51&gt; http://www.rolandberger.com/expertise/trend_compendium_2030/index.html.</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стран БРИК в объеме глобального экспорта в 2030 составит 23% (сегодня - 14%) и почти сравняется с долей Евросоюза. Китай и Индия станут доминирующими глобальными поставщиками товаров промышленного назначения и услуг, Бразилия и Россия - сырья.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Рост объемов экспорта в 2030 году для Индии составит 13% в год, Китая - 7,1%, Бразилии - 6,5%, Российской Федерации - 4,9%.</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72" w:name="Par6627"/>
      <w:bookmarkEnd w:id="272"/>
      <w:r>
        <w:rPr>
          <w:rFonts w:ascii="Calibri" w:hAnsi="Calibri" w:cs="Calibri"/>
        </w:rPr>
        <w:t>Прогноз Национального исследовательского университета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"Высшая школа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Институтом "Центр развития" Национального исследовательского университета "Высшая школа экономики" в конце 2013 года подготовлен консенсус-прогноз развития российской экономики "Новый КГБ (Комментарии о государстве и бизнесе)" до 2022 года </w:t>
      </w:r>
      <w:hyperlink w:anchor="Par6632" w:history="1">
        <w:r>
          <w:rPr>
            <w:rFonts w:ascii="Calibri" w:hAnsi="Calibri" w:cs="Calibri"/>
            <w:color w:val="0000FF"/>
          </w:rPr>
          <w:t>&lt;52&gt;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73" w:name="Par6632"/>
      <w:bookmarkEnd w:id="273"/>
      <w:r>
        <w:rPr>
          <w:rFonts w:ascii="Calibri" w:hAnsi="Calibri" w:cs="Calibri"/>
        </w:rPr>
        <w:t>&lt;52&gt; http://opec.ru/data/2013/11/07/1234049015/KGB_57f.pdf.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Анализ результатов консенсус-прогноза выявил снижение ожиданий независимых экспертов относительно среднесрочных прогнозов развития российской экономики. По мнению авторов до 2022 года ВВП Российской Федерации вырастет на 29%, темпы роста экономики в 2014 году поднимутся не выше 2,1%, против 3,0% по официальному прогнозу, заложенному в бюджетные расчеты </w:t>
      </w:r>
      <w:hyperlink w:anchor="Par6706" w:history="1">
        <w:r>
          <w:rPr>
            <w:rFonts w:ascii="Calibri" w:hAnsi="Calibri" w:cs="Calibri"/>
            <w:color w:val="0000FF"/>
          </w:rPr>
          <w:t>(таблица 37)</w:t>
        </w:r>
      </w:hyperlink>
      <w:r>
        <w:rPr>
          <w:rFonts w:ascii="Calibri" w:hAnsi="Calibri" w:cs="Calibri"/>
        </w:rPr>
        <w:t>. Авторы отмечают, что ниже отметки в 3% экспертами прогнозируются темпы роста ВВП на ближайшее десятилетие.</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74" w:name="Par6636"/>
      <w:bookmarkEnd w:id="274"/>
      <w:r>
        <w:rPr>
          <w:rFonts w:ascii="Calibri" w:hAnsi="Calibri" w:cs="Calibri"/>
        </w:rPr>
        <w:t>Таблица 36</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Характеристика консенсус-прогноза</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835"/>
        <w:gridCol w:w="680"/>
        <w:gridCol w:w="680"/>
        <w:gridCol w:w="680"/>
        <w:gridCol w:w="680"/>
        <w:gridCol w:w="680"/>
        <w:gridCol w:w="680"/>
        <w:gridCol w:w="680"/>
        <w:gridCol w:w="680"/>
        <w:gridCol w:w="680"/>
        <w:gridCol w:w="680"/>
      </w:tblGrid>
      <w:tr w:rsidR="00703D0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2013</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2020</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2021</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2022</w:t>
            </w:r>
          </w:p>
        </w:tc>
      </w:tr>
      <w:tr w:rsidR="00703D0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Реальный ВВП, % прироста</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703D06">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Индекс потребительских цен, % прироста (декабрь к декабрю)</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4,9</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4,5</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4,2</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4,2</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экономические проблемы ближайших 10 лет эксперты связывают не с динамикой цен на нефть, а исключительно с внутренними факторами - негативными изменениями в уровне конкурентоспособности российской экономики, инвестиционном климате и эффективности деятельности правительства. В целом опасения экспертов вполне соответствуют динамике основных макропоказателей (по оценке МЭР РФ рост ВВП Российской Федерации в третьем квартале 2013 года опустился ниже 1% год к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Значительно увеличились оценки вероятности экономического кризиса в России. Авторы отмечают, что динамика сокращения таких секторов обрабатывающей промышленности, как машиностроение и металлургия, характерна для кризисного 2009 года. Около 50% секторов промышленности уже находятся в состоянии рецессии (особенно инвестиции и строительство), а отсутствие позитивных настроений в бизнес-сообществе только усугубляет ситуацию.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Исходя из прогноза, экспертами не ожидается резкого роста инфляции - к 2022 году цены вырастут примерно на 62%, а номинальный курс рубля к доллару США ослабеет всего на 24%.</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75" w:name="Par6678"/>
      <w:bookmarkEnd w:id="275"/>
      <w:r>
        <w:rPr>
          <w:rFonts w:ascii="Calibri" w:hAnsi="Calibri" w:cs="Calibri"/>
        </w:rPr>
        <w:t>Прогнозы ОАО "Сбербанк России"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ОАО "Сбербанк России" (далее - Сбербанк) в рамках разработки среднесрочной стратегии развития банка на период 2014 - 2018 гг. также затронуты перспективы развития Российской Федерации </w:t>
      </w:r>
      <w:hyperlink w:anchor="Par6682" w:history="1">
        <w:r>
          <w:rPr>
            <w:rFonts w:ascii="Calibri" w:hAnsi="Calibri" w:cs="Calibri"/>
            <w:color w:val="0000FF"/>
          </w:rPr>
          <w:t>&lt;53&gt;</w:t>
        </w:r>
      </w:hyperlink>
      <w:r>
        <w:rPr>
          <w:rFonts w:ascii="Calibri" w:hAnsi="Calibri" w:cs="Calibri"/>
        </w:rPr>
        <w:t>. Взгляд на перспективы российской экономики со стороны банковского сектора авторами представлен неутешительным. Сбербанком были разработаны три сценария развития российской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76" w:name="Par6682"/>
      <w:bookmarkEnd w:id="276"/>
      <w:r>
        <w:rPr>
          <w:rFonts w:ascii="Calibri" w:hAnsi="Calibri" w:cs="Calibri"/>
        </w:rPr>
        <w:t>&lt;53&gt; https://sberbank.ru/moscow/ru/about/today/strategy_2018/.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базовый сценарий "Низкий рост, слабый рубль". Для этого сценария прогнозируются невысокие темпы роста ВВП на уровне 2,2 - 2,4% со стабильной динамикой основных экономических показателей. Рост инвестиций не превысит 2% в год;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оптимистический сценарий "Невысокий рост, квазистабильный рубль". Для этого сценария прогнозируются темпы роста ВВП на уровне 3% за счет благоприятных внешних условий. Основное положительное влияние на ситуацию окажут объемы инвестиций - темп роста до 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пессимистический сценарий "Новый кризис". Сценарий предусматривает резкое ухудшении конъюнктуры внешних рынков. Падение цен на нефть до 70 долл. США за баррель приведет к оттоку капитала из России в объеме около 90 млрд. долл. США. Снижение ВВП прогнозируется в размере 3,5% и 2% для первого и второго года кризиса соответственно. В дальнейшем восстановление экономики ожидается темпами не более 1% в год.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мнению авторов, базовый сценарий является основным, и вероятность его реализации оценивается в 70 - 80%. Во всех сценариях предполагается, что экономическая модель Российской Федерации останется неизменной - значительная сырьевая направленность с относительно высокой концентрацией производства и значительным присутствием государства.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77" w:name="Par6689"/>
      <w:bookmarkEnd w:id="277"/>
      <w:r>
        <w:rPr>
          <w:rFonts w:ascii="Calibri" w:hAnsi="Calibri" w:cs="Calibri"/>
        </w:rPr>
        <w:t>Выводы по прогнозным сценариям развития российской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Авторы докладов из МЭР РФ и НИИ "Высшая школа экономики" в целом солидарны в своих прогнозах в части консервативного развития событий по темпам прироста российской экономики, мнение Национального совета по разведке США и Сбербанка несколько пессимистичней: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МЭР РФ: "Консервативный прогноз" - среднегодовые темпы роста ВВП оцениваются на уровне 2,5%;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Национальный совет по разведке США: "Заглохшие моторы" - среднегодовые темпы роста ВВП оцениваются на уровне 1,1%;</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Сбербанк: "Новый кризис" - снижение ВВП в размере 3,5% и 2% для первого и второго года кризиса соответственно, в дальнейшем восстановление экономики темпами не более 1% в год;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НИИ "Высшая школа экономики" - среднегодовые темпы роста ВВП оцениваются на уровне 3,0%.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Авторы докладов из МЭР РФ, Национального совета по разведке США, НИИ "Высшая школа экономики" оказались не очень солидарны в своих прогнозах в части умеренно-оптимистичного развития событий по темпам прироста российской экономики: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МЭР РФ: "Умеренно-оптимистичный сценарий" - среднегодовые темпы роста ВВП оцениваются на уровне 3,5%;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Национальный совет по разведке США: "Корпоративный мир" - среднегодовые темпы роста ВВП оцениваются на уровне 1,6%;</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Сбербанк: "Низкий рост, слабый рубль" - среднегодовые темпы роста ВВП оцениваются на уровне 2,2 - 2,4%.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Мнение специалистов компании "Роланд Бергер Стрэтеджи Консалтентс" совпадает с мнением МЭР РФ в части форсированного сценария развития российской экономики: среднегодовые темпы роста ВВП оцениваются на уровне 5,3% и 5,0 - 5,3% соответственно. Оптимистический сценарий "Невысокий рост, квазистабильный рубль" Сбербанка предполагает среднегодовые темпы роста ВВП на уровне 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"Консервативный сценарий"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 Среднегодовые темпы роста ВВП оцениваются на уровне 2,5% в 2013 - 2030 годах. Экономика увеличится к 2030 году в 1,7 раза, реальные доходы населения возрастут в 1,9 раза, доля России в мировом ВВП уменьшится с 4% в 2012 году до 3,4% в 2030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"Умеренно-оптимистичный сценарий" характеризуется дополнительными импульсами инновационного развития и усилением инвестиционной направленности экономического роста. Среднегодовые темпы роста ВВП оцениваются на уровне 3,5% в 2013 - 2030 гг., что соответствует темпам роста мировой экономики.</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78" w:name="Par6704"/>
      <w:bookmarkEnd w:id="278"/>
      <w:r>
        <w:rPr>
          <w:rFonts w:ascii="Calibri" w:hAnsi="Calibri" w:cs="Calibri"/>
        </w:rPr>
        <w:t>Таблица 37</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279" w:name="Par6706"/>
      <w:bookmarkEnd w:id="279"/>
      <w:r>
        <w:rPr>
          <w:rFonts w:ascii="Calibri" w:hAnsi="Calibri" w:cs="Calibri"/>
        </w:rPr>
        <w:t>Консервативный сценарий развития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экономики МЭР РФ (начало)</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2019</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73315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79660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86837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96535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105292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113076</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102,7</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14933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16577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18475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20499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22818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25014</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105,4</w:t>
            </w:r>
          </w:p>
        </w:tc>
      </w:tr>
    </w:tbl>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80" w:name="Par6745"/>
      <w:bookmarkEnd w:id="280"/>
      <w:r>
        <w:rPr>
          <w:rFonts w:ascii="Calibri" w:hAnsi="Calibri" w:cs="Calibri"/>
        </w:rPr>
        <w:t>Таблица 37</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Консервативный сценарий развития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экономики МЭР РФ (окончание)</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2025</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120524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128131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136341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144863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153555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162347</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102,4</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27114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29355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31661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33871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36172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38657</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104,4</w:t>
            </w:r>
          </w:p>
        </w:tc>
      </w:tr>
    </w:tbl>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81" w:name="Par6786"/>
      <w:bookmarkEnd w:id="281"/>
      <w:r>
        <w:rPr>
          <w:rFonts w:ascii="Calibri" w:hAnsi="Calibri" w:cs="Calibri"/>
        </w:rPr>
        <w:t>Таблица 38</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Умеренно-оптимистичный сценарий развития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экономики МЭР РФ (начало)</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2019</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73315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79831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87478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98285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108911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119483</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104,6</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14946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16777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18816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21448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24550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28067</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107,5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109,2</w:t>
            </w:r>
          </w:p>
        </w:tc>
      </w:tr>
    </w:tbl>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3"/>
        <w:rPr>
          <w:rFonts w:ascii="Calibri" w:hAnsi="Calibri" w:cs="Calibri"/>
        </w:rPr>
      </w:pPr>
      <w:bookmarkStart w:id="282" w:name="Par6827"/>
      <w:bookmarkEnd w:id="282"/>
      <w:r>
        <w:rPr>
          <w:rFonts w:ascii="Calibri" w:hAnsi="Calibri" w:cs="Calibri"/>
        </w:rPr>
        <w:t>Таблица 38</w:t>
      </w: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Умеренно-оптимистичный сценарий развития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экономики МЭР РФ (окончание)</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175"/>
        <w:gridCol w:w="1077"/>
        <w:gridCol w:w="1077"/>
        <w:gridCol w:w="1077"/>
        <w:gridCol w:w="1077"/>
        <w:gridCol w:w="1077"/>
        <w:gridCol w:w="1077"/>
      </w:tblGrid>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РФ</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2025</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ВВП,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130100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140905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151940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163256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174762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186707</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103,4</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млрд. руб.</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31518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35188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38743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42370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46037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49830</w:t>
            </w:r>
          </w:p>
        </w:tc>
      </w:tr>
      <w:tr w:rsidR="00703D06">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 к пред. году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108,1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107,4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105,5</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283" w:name="Par6872"/>
      <w:bookmarkEnd w:id="283"/>
      <w:r>
        <w:rPr>
          <w:rFonts w:ascii="Calibri" w:hAnsi="Calibri" w:cs="Calibri"/>
        </w:rPr>
        <w:t>Приложение 5</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284" w:name="Par6874"/>
      <w:bookmarkEnd w:id="284"/>
      <w:r>
        <w:rPr>
          <w:rFonts w:ascii="Calibri" w:hAnsi="Calibri" w:cs="Calibri"/>
          <w:b/>
          <w:bCs/>
        </w:rPr>
        <w:t>ПОТЕНЦИАЛЬНЫЕ КЛАСТЕРЫ</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285" w:name="Par6877"/>
      <w:bookmarkEnd w:id="285"/>
      <w:r>
        <w:rPr>
          <w:rFonts w:ascii="Calibri" w:hAnsi="Calibri" w:cs="Calibri"/>
        </w:rPr>
        <w:t>Машиностроительный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86" w:name="Par6879"/>
      <w:bookmarkEnd w:id="286"/>
      <w:r>
        <w:rPr>
          <w:rFonts w:ascii="Calibri" w:hAnsi="Calibri" w:cs="Calibri"/>
        </w:rPr>
        <w:t>Специализация</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будут являться производство транспортных средств, машин и оборудования, научно-исследовательская и образовательная деятельность.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планируемые виды продукции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теплообменные устройства, промышленное и бытовое холодильное оборудование;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оборудование для кондиционирования воздуха, фильтрования и очистки газов;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топливозаправщики, электроагрегаты, воздухозаправщики, компрессорные станции;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контейнерные и модульные автозаправочные станции, резервуары, детали трубопроводов и теплообменной аппаратуры;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машины стиральные, сушильно-гладильные, центрифуги для отжима;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изготовление и ремонт ходовых частей ж/д вагонов, производство полувагонов;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тормозная аппаратура (пневматическая и гидравлическая) для грузовых автомобилей, автобусов, тракторов и прицепов;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комбинированные дорожные машины для всесезонного содержания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запасные части для легковых и грузовых автомобилей, коробки передач;</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самолеты малой авиации, комплектующие к ним и другое.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Потребителями продукции кластера планируются предприятия и организации различных отраслей: авиа- и железнодорожного транспорта, автомобилестроения и др.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87" w:name="Par6895"/>
      <w:bookmarkEnd w:id="287"/>
      <w:r>
        <w:rPr>
          <w:rFonts w:ascii="Calibri" w:hAnsi="Calibri" w:cs="Calibri"/>
        </w:rPr>
        <w:t>Рынки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рынками сбыта продукции кластера предполагаются как внутренний рынок РФ, так и рынки стран дальнего зарубежья.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2012 году экспорт машиностроительной продукции в целом (включающий транспортное и энергетическое машиностроение) из России составил 26,4 млрд. долл. США </w:t>
      </w:r>
      <w:hyperlink w:anchor="Par6900" w:history="1">
        <w:r>
          <w:rPr>
            <w:rFonts w:ascii="Calibri" w:hAnsi="Calibri" w:cs="Calibri"/>
            <w:color w:val="0000FF"/>
          </w:rPr>
          <w:t>&lt;54&gt;</w:t>
        </w:r>
      </w:hyperlink>
      <w:r>
        <w:rPr>
          <w:rFonts w:ascii="Calibri" w:hAnsi="Calibri" w:cs="Calibri"/>
        </w:rPr>
        <w:t>, что равнялось 5% от суммарного экспорта товаров из России за тот же период (2010 - 21,4 млрд. долл. США, 2011 - 23,2 млрд. долл. США). В страны дальнего зарубежья в 2012 году было направлено 61% экспорта, в страны СНГ - 39%. Таким образом, очевидны хорошие перспективы для поставок продукции предприятий кластера на быстрорастущие рынки Казахстана, Индии и других развивающихся стран. Планируется, что к 2020 году уровень экспорта продукции машиностроения вырастет до 92 млрд. долл. США, а доля машиностроения в экспорте до 18%.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88" w:name="Par6900"/>
      <w:bookmarkEnd w:id="288"/>
      <w:r>
        <w:rPr>
          <w:rFonts w:ascii="Calibri" w:hAnsi="Calibri" w:cs="Calibri"/>
        </w:rPr>
        <w:t>&lt;54&gt; Товарная структура ЭКСПОРТА Российской Федерации со всеми странами январь - декабрь 2012 г. http://www.customs.ru/index2.php?option=com_content&amp;view=article&amp;id=17089:-2012-&amp;catid=52:2011-01-24-16-28-57&amp;Itemid=1978.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Запланированные в РФ меры по развитию машиностроения (</w:t>
      </w:r>
      <w:hyperlink r:id="rId155" w:history="1">
        <w:r>
          <w:rPr>
            <w:rFonts w:ascii="Calibri" w:hAnsi="Calibri" w:cs="Calibri"/>
            <w:color w:val="0000FF"/>
          </w:rPr>
          <w:t>Стратегия</w:t>
        </w:r>
      </w:hyperlink>
      <w:r>
        <w:rPr>
          <w:rFonts w:ascii="Calibri" w:hAnsi="Calibri" w:cs="Calibri"/>
        </w:rPr>
        <w:t xml:space="preserve"> развития тяжелого машиностроения на период до 2020 года, </w:t>
      </w:r>
      <w:hyperlink r:id="rId156" w:history="1">
        <w:r>
          <w:rPr>
            <w:rFonts w:ascii="Calibri" w:hAnsi="Calibri" w:cs="Calibri"/>
            <w:color w:val="0000FF"/>
          </w:rPr>
          <w:t>Стратегия</w:t>
        </w:r>
      </w:hyperlink>
      <w:r>
        <w:rPr>
          <w:rFonts w:ascii="Calibri" w:hAnsi="Calibri" w:cs="Calibri"/>
        </w:rPr>
        <w:t xml:space="preserve"> развития транспортного машиностроения Российской Федерации в 2007 - 2010 годах и на период до 2015 года </w:t>
      </w:r>
      <w:hyperlink w:anchor="Par6908" w:history="1">
        <w:r>
          <w:rPr>
            <w:rFonts w:ascii="Calibri" w:hAnsi="Calibri" w:cs="Calibri"/>
            <w:color w:val="0000FF"/>
          </w:rPr>
          <w:t>&lt;55&gt;</w:t>
        </w:r>
      </w:hyperlink>
      <w:r>
        <w:rPr>
          <w:rFonts w:ascii="Calibri" w:hAnsi="Calibri" w:cs="Calibri"/>
        </w:rPr>
        <w:t xml:space="preserve">, Государственная </w:t>
      </w:r>
      <w:hyperlink r:id="rId157" w:history="1">
        <w:r>
          <w:rPr>
            <w:rFonts w:ascii="Calibri" w:hAnsi="Calibri" w:cs="Calibri"/>
            <w:color w:val="0000FF"/>
          </w:rPr>
          <w:t>программа</w:t>
        </w:r>
      </w:hyperlink>
      <w:r>
        <w:rPr>
          <w:rFonts w:ascii="Calibri" w:hAnsi="Calibri" w:cs="Calibri"/>
        </w:rPr>
        <w:t xml:space="preserve"> РФ "Развитие промышленности и повышение ее конкурентоспособности" и др.) должны привести, например, к росту среднегодового объема российского рынка подвижного состава к 2020 году до 630 млрд. руб., к 2030 году - 737 млрд. руб. (для сравнения - в 2012 г. он составлял 465 млрд. руб.) </w:t>
      </w:r>
      <w:hyperlink w:anchor="Par6909" w:history="1">
        <w:r>
          <w:rPr>
            <w:rFonts w:ascii="Calibri" w:hAnsi="Calibri" w:cs="Calibri"/>
            <w:color w:val="0000FF"/>
          </w:rPr>
          <w:t>&lt;56&gt;</w:t>
        </w:r>
      </w:hyperlink>
      <w:r>
        <w:rPr>
          <w:rFonts w:ascii="Calibri" w:hAnsi="Calibri" w:cs="Calibri"/>
        </w:rPr>
        <w:t>. Данные обстоятельства создадут благоприятные возможности для увеличения объемов производства предприятий кластера уже в ближайшей перспективе. Однако основной объем спроса на продукцию предприятий кластера на внутреннем рынке будет определять внутреннее потребление на территории Смоленской области, Московской агломерации и ЦФО в целом.</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вместо адреса "http://www.minpromtorg.gov.ru/ministry/strategic/sectoral/4" следует читать "http://old.minpromtorg.gov.ru/ministry/strategic/sectoral/4".</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89" w:name="Par6908"/>
      <w:bookmarkEnd w:id="289"/>
      <w:r>
        <w:rPr>
          <w:rFonts w:ascii="Calibri" w:hAnsi="Calibri" w:cs="Calibri"/>
        </w:rPr>
        <w:t>&lt;55&gt; МИНПРОМТОРГ http://www.minpromtorg.gov.ru/ministry/strategic/sectoral/4.</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90" w:name="Par6909"/>
      <w:bookmarkEnd w:id="290"/>
      <w:r>
        <w:rPr>
          <w:rFonts w:ascii="Calibri" w:hAnsi="Calibri" w:cs="Calibri"/>
        </w:rPr>
        <w:t>&lt;56&gt; Институт проблем естественных монополий http://ipem.ru/news/ipem/743.html.</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благоприятному развитию кластера будет способствовать выгодное расположение "якорных" предприятий-участников (в основном в областном центре г. Смоленске, г. Рославле) относительно существующих транспортно-логистических узлов и магистралей (близость потенциальных клиентов в Московской агломерации и странах СНГ).</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91" w:name="Par6913"/>
      <w:bookmarkEnd w:id="291"/>
      <w:r>
        <w:rPr>
          <w:rFonts w:ascii="Calibri" w:hAnsi="Calibri" w:cs="Calibri"/>
        </w:rPr>
        <w:t>Географическая концентрация</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45" type="#_x0000_t75" style="width:436.5pt;height:381pt">
            <v:imagedata r:id="rId158" o:title=""/>
          </v:shape>
        </w:pic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92" w:name="Par6917"/>
      <w:bookmarkEnd w:id="292"/>
      <w:r>
        <w:rPr>
          <w:rFonts w:ascii="Calibri" w:hAnsi="Calibri" w:cs="Calibri"/>
        </w:rPr>
        <w:t>Ключевые участники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потенциальных участников кластера могут выступить: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ОАО "Вяземский машиностроительный завод".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ОАО "Торгмаш".</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ООО "Гагаринская промышленно-строительная компания".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ООО "Аркада-Инжиниринг".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ОАО "Смоленский завод "Кентавр".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ОАО "720 ремонтный завод средств обеспечения полетов".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ООО "БалтЭнергоМаш".</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ЗАО "Кондиционер".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ОАО "Смолспецтех".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ОАО "Рославльский вагоноремонтный завод".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ЗАО "Рославльский автоагрегатный завод АМО ЗИЛ".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ОАО "Завод Комплексных Дорожных Машин им. М.И. Калинина".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ЗАО "Ярцевская технологическая компания" АМО ЗИЛ".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ОАО "Смоленский авиационный завод".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кластера также могут быть включены образовательные учреждения, в настоящий момент входящие в состав Машиностроительного научно-образовательного кластера </w:t>
      </w:r>
      <w:hyperlink w:anchor="Par6936" w:history="1">
        <w:r>
          <w:rPr>
            <w:rFonts w:ascii="Calibri" w:hAnsi="Calibri" w:cs="Calibri"/>
            <w:color w:val="0000FF"/>
          </w:rPr>
          <w:t>&lt;57&gt;</w:t>
        </w:r>
      </w:hyperlink>
      <w:r>
        <w:rPr>
          <w:rFonts w:ascii="Calibri" w:hAnsi="Calibri" w:cs="Calibri"/>
        </w:rPr>
        <w:t xml:space="preserve"> охватывающего учебные заведения всех ступеней профессионального образования: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93" w:name="Par6936"/>
      <w:bookmarkEnd w:id="293"/>
      <w:r>
        <w:rPr>
          <w:rFonts w:ascii="Calibri" w:hAnsi="Calibri" w:cs="Calibri"/>
        </w:rPr>
        <w:t>&lt;57&gt; http://нокмаш.рф.</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Филиал ФГБОУ ВПО "Московский государственный машиностроительный университет (МАМИ)" в г. Смоленске;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ОГБОУ СПО "Смоленский машиностроительный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СОГБОУ СПО "Рославльский технический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СОГБОУ СПО "Ярцевский индустриальный техникум";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Учебный центр "Профессиональные кадры"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 также научно-исследовательские учреждения - ОАО "Научно-исследовательский институт машиностроения".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Смоленское региональное отделение ООО "Союз машиностроителей России" и др.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94" w:name="Par6946"/>
      <w:bookmarkEnd w:id="294"/>
      <w:r>
        <w:rPr>
          <w:rFonts w:ascii="Calibri" w:hAnsi="Calibri" w:cs="Calibri"/>
        </w:rPr>
        <w:t>Тип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Машиностроительный кластер относится к смешанному типу.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95" w:name="Par6950"/>
      <w:bookmarkEnd w:id="295"/>
      <w:r>
        <w:rPr>
          <w:rFonts w:ascii="Calibri" w:hAnsi="Calibri" w:cs="Calibri"/>
        </w:rPr>
        <w:t>Предпосылки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предпосылками создания машиностроительного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для размещения предприятий машиностроительной отрасли </w:t>
      </w:r>
      <w:hyperlink w:anchor="Par6956" w:history="1">
        <w:r>
          <w:rPr>
            <w:rFonts w:ascii="Calibri" w:hAnsi="Calibri" w:cs="Calibri"/>
            <w:color w:val="0000FF"/>
          </w:rPr>
          <w:t>&lt;58&gt;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96" w:name="Par6956"/>
      <w:bookmarkEnd w:id="296"/>
      <w:r>
        <w:rPr>
          <w:rFonts w:ascii="Calibri" w:hAnsi="Calibri" w:cs="Calibri"/>
        </w:rPr>
        <w:t>&lt;58&gt; http://www.smolinvest.com/platform_for_business/prioritet_invest_platform.php.</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исторически сложившийся комплекс предприятий машиностроительной отрасли, созданный еще в СССР, потенциал наработанных коммерческих связей и научно-технической кооперации;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"якорных" организаций с длительной историей и развитой производственной инфраструктурой (ОАО "Рославльский автоагрегатный завод АМО ЗИЛ" работает с 1959 года, ОАО "Вяземский машиностроительный завод" - с 1921 года, ОАО "Смоленский авиационный завод" - с 1926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ситуация, сложившаяся в настоящее время в машиностроительном комплексе области, показывает, что данная отрасль пока еще обладает высоким потенциалом, позволяющим рассматривать ее как точку экономического роста;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высокий уровень промышленной агломерации (концентрация промышленного производства по отдельным территориям). Около 46% промышленного производства приходится на г. Смоленск. Также значимый вклад ВРП Смоленской области вносят г. Десногорск, Вяземский, Дорогобужский и Рославльский районы. Вместе с г. Смоленском в этих районах производится около 84% промышленной продукции </w:t>
      </w:r>
      <w:hyperlink w:anchor="Par6963" w:history="1">
        <w:r>
          <w:rPr>
            <w:rFonts w:ascii="Calibri" w:hAnsi="Calibri" w:cs="Calibri"/>
            <w:color w:val="0000FF"/>
          </w:rPr>
          <w:t>&lt;59&gt;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97" w:name="Par6963"/>
      <w:bookmarkEnd w:id="297"/>
      <w:r>
        <w:rPr>
          <w:rFonts w:ascii="Calibri" w:hAnsi="Calibri" w:cs="Calibri"/>
        </w:rPr>
        <w:t>&lt;59&gt; http://www.admin-smolensk.ru/pages/Strategiya_razvitiya_Smolenskoy_oblasti.htm.</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стимулирование повышения энергетической эффективности промышленности области, вывода из эксплуатации старого оборудования, внедрения новых энергосберегающих технологий и оборудования в промышленности за счет принятия долгосрочной областной целевой </w:t>
      </w:r>
      <w:hyperlink r:id="rId159" w:history="1">
        <w:r>
          <w:rPr>
            <w:rFonts w:ascii="Calibri" w:hAnsi="Calibri" w:cs="Calibri"/>
            <w:color w:val="0000FF"/>
          </w:rPr>
          <w:t>программы</w:t>
        </w:r>
      </w:hyperlink>
      <w:r>
        <w:rPr>
          <w:rFonts w:ascii="Calibri" w:hAnsi="Calibri" w:cs="Calibri"/>
        </w:rPr>
        <w:t xml:space="preserve"> "Энергосбережение и повышение энергетической эффективности в Смоленской области" на 2010 - 2020 годы, утвержденной Администрацией Смоленской области от 29 июля 2010 г. N 445 </w:t>
      </w:r>
      <w:hyperlink w:anchor="Par6967" w:history="1">
        <w:r>
          <w:rPr>
            <w:rFonts w:ascii="Calibri" w:hAnsi="Calibri" w:cs="Calibri"/>
            <w:color w:val="0000FF"/>
          </w:rPr>
          <w:t>&lt;60&gt;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298" w:name="Par6967"/>
      <w:bookmarkEnd w:id="298"/>
      <w:r>
        <w:rPr>
          <w:rFonts w:ascii="Calibri" w:hAnsi="Calibri" w:cs="Calibri"/>
        </w:rPr>
        <w:t>&lt;60&gt; http://admin.smolensk.ru/~rek/dejatelnost/enerosber/energosb_docp_2010-2020.htm.</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299" w:name="Par6969"/>
      <w:bookmarkEnd w:id="299"/>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модернизация производственной инфраструктуры, реализация совместных проектов в данной сфере;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технологическое и организационное взаимодействие между участниками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минимизация затрат на инфраструктуру, услуги естественных монополий, безопасность;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транспортных издержек, повышение эффективности системы поставок сырья, компонентов и комплектующих;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уменьшение затрат на внедрение инноваций, повышение возможностей для внедрения внутренней специализации и стандартизации;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издержек за счет кооперации в области сертификации и контроля качества;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совместной брендовой политики, взаимодействие при проведении маркетинга;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интернационализация, совместный выход на рынки третьих стран с поставкой продукции и закупкой комплектующих, гарантированный "supply chain";</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и качества НИОКР, формирование и развитие совместной научной базы и информационной среды.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00" w:name="Par6984"/>
      <w:bookmarkEnd w:id="300"/>
      <w:r>
        <w:rPr>
          <w:rFonts w:ascii="Calibri" w:hAnsi="Calibri" w:cs="Calibri"/>
        </w:rPr>
        <w:t>Меры поддержки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поддержки территориальных кластеров приведены в </w:t>
      </w:r>
      <w:hyperlink w:anchor="Par9132" w:history="1">
        <w:r>
          <w:rPr>
            <w:rFonts w:ascii="Calibri" w:hAnsi="Calibri" w:cs="Calibri"/>
            <w:color w:val="0000FF"/>
          </w:rPr>
          <w:t>приложении 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01" w:name="Par6988"/>
      <w:bookmarkEnd w:id="301"/>
      <w:r>
        <w:rPr>
          <w:rFonts w:ascii="Calibri" w:hAnsi="Calibri" w:cs="Calibri"/>
        </w:rPr>
        <w:t>Ожидаемые KPI/социально-экономические эффекты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ожидаемым социально-экономическим эффектам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объемов реализуемой продукции участников кластера за счет технического перевооружения и внедрения новых технологий (проекты ОАО "Рославльский вагоноремонтный завод"; ЗАО "РААЗ АМО ЗИЛ" и других);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6994" w:history="1">
        <w:r>
          <w:rPr>
            <w:rFonts w:ascii="Calibri" w:hAnsi="Calibri" w:cs="Calibri"/>
            <w:color w:val="0000FF"/>
          </w:rPr>
          <w:t>&lt;61&gt;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02" w:name="Par6994"/>
      <w:bookmarkEnd w:id="302"/>
      <w:r>
        <w:rPr>
          <w:rFonts w:ascii="Calibri" w:hAnsi="Calibri" w:cs="Calibri"/>
        </w:rPr>
        <w:t>&lt;61&gt;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новых высокопроизводительных рабочих мест за счет модернизации действующих производств;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числа участников малого и среднего бизнеса, включаемых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объемов инновационной продукции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числа подаваемых в Роспатент заявок на объекты интеллектуальной собственности.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03" w:name="Par7001"/>
      <w:bookmarkEnd w:id="303"/>
      <w:r>
        <w:rPr>
          <w:rFonts w:ascii="Calibri" w:hAnsi="Calibri" w:cs="Calibri"/>
        </w:rPr>
        <w:t>Управленческая и юридическая схемы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Совета является обеспечение стратегического руководства деятельностью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объединение членов Партнерства для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в обществе авторитета, престижа и общественной значимости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постоянная нацеленность на повышение стандартов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реализации и защите законных прав и интересов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стандартов и правил деятельности членов Партнерства, а также контроль над соблюдением требований указанных стандартов и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04" w:name="Par7016"/>
      <w:bookmarkEnd w:id="304"/>
      <w:r>
        <w:rPr>
          <w:rFonts w:ascii="Calibri" w:hAnsi="Calibri" w:cs="Calibri"/>
        </w:rPr>
        <w:t>Риски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основным рискам проекта можно отнести: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высокий уровень физического и морального износа основных средств производства. Выбытие основных фондов идет с опережающим темпом по сравнению с обновлением технологической базы;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технический уровень производства;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дальнейший спад инновационной активности, неэффективность механизмов продвижения перспективных разработок в производство;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вытеснение с российского рынка отечественного производителя зарубежными фирмами, предлагающими свою продукцию на более выгодных финансовых условиях;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конкуренции на зарубежных рынках;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заработной платы;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острый дефицит квалифицированных кадров;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ухудшение качественного состава научно-производственных кадров.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05" w:name="Par7028"/>
      <w:bookmarkEnd w:id="305"/>
      <w:r>
        <w:rPr>
          <w:rFonts w:ascii="Calibri" w:hAnsi="Calibri" w:cs="Calibri"/>
        </w:rPr>
        <w:t>Приоритеты и мероприятия по развитию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мероприятия по развитию кластера приведены в </w:t>
      </w:r>
      <w:hyperlink w:anchor="Par8318" w:history="1">
        <w:r>
          <w:rPr>
            <w:rFonts w:ascii="Calibri" w:hAnsi="Calibri" w:cs="Calibri"/>
            <w:color w:val="0000FF"/>
          </w:rPr>
          <w:t>приложении 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306" w:name="Par7032"/>
      <w:bookmarkEnd w:id="306"/>
      <w:r>
        <w:rPr>
          <w:rFonts w:ascii="Calibri" w:hAnsi="Calibri" w:cs="Calibri"/>
        </w:rPr>
        <w:t>Композитный кластер (включая производство продукции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химической и нефтехимической промышленности)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07" w:name="Par7035"/>
      <w:bookmarkEnd w:id="307"/>
      <w:r>
        <w:rPr>
          <w:rFonts w:ascii="Calibri" w:hAnsi="Calibri" w:cs="Calibri"/>
        </w:rPr>
        <w:t>Специализация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планируются: производство продукции из углеводородного, минерального и другого сырья путем его химической переработки, производство изделий гражданского композитостроения на базе новых инновационных материалов и технологий, научно-исследовательская и образовательная деятельность.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продукции участников кластера планируются: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крупногабаритные изделия из композитных материалов и пластмасс, стеновые панели, подоконники, отделочные профили, плинтусы;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стеклоарматура, стеклокомпозит, дисплейное, фотовольтаическое и архитектурно-строительное стекло;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минеральные удобрения, углекислоты, аммиак технический, катализаторы;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спецреагенты, эпоксидные смолы, эмульгаторы;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полимерная упаковочная пленка;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освежители воздуха, нейтрализаторы запаха, средства косметические для укладки волос в аэрозольной упаковке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Потребителями продукции кластера планируются практически все отрасли промышленности, транспорта, оборонный и топливно-энергетический комплексы, а также сфера услуг.</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08" w:name="Par7047"/>
      <w:bookmarkEnd w:id="308"/>
      <w:r>
        <w:rPr>
          <w:rFonts w:ascii="Calibri" w:hAnsi="Calibri" w:cs="Calibri"/>
        </w:rPr>
        <w:t>Рынки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Композиционные материалы являются на сегодняшний день одним из наиболее быстро развивающихся рынков. Они используются в различных областях, где требуются низкий вес и высокая прочность. Оплетка различных форм и заготовок является новым решением в изготовлении сложных деталей. Нити распределяются под заданным углом, что позволяет повысить качество и более эффективно использовать дорогостоящий материал.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части рынка композитных материалов объем мирового рынка композитов составляет 12 млн. тонн в год и не менее 700 млрд. евро в денежном выражении. Вместе с тем, объемы производства композитов в России исчисляются десятками тысяч тонн и составляют всего 0,3 - 0,5% от мирового объема.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среднем мировой рынок растет на 5 - 7% в год. У российского рынка композитов есть перспективы роста и к 2020 году он может увеличиться более чем в 10 раз. Традиционными потребителями композитов в России являются предприятия оборонно-промышленного комплекса, авиапромышленность, космос, судостроение. Анализ мирового опыта показывает, что наиболее перспективными и массовыми рынками композиционных материалов являются рынки строительства и эксплуатации транспортной инфраструктуры (автомобили, железные дороги, трубопроводы, ЖКХ, транспортное машиностроение, электроника и электротехника).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части производства продукции химической и нефтехимической промышленности основными рынками сбыта продукции кластера планируются как внутренний рынок РФ, так и региональные рынки стран ЕС, СНГ и Азиатско-Тихоокеанского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структуре всего российского экспорта в 2013 г. в стоимостном выражении доля поставок продукции химической промышленности и каучука составила 5,8%. По данным Федеральной таможенной службы РФ, экспорт продукции химической промышленности в 2013 г. составил в стоимостном выражении 30,739 млрд. долл. США, из которого 75% приходится на страны дальнего зарубежья (23,076 млрд. долл. США), остальное - экспорт в страны СНГ (7,663 млрд. долл. США) </w:t>
      </w:r>
      <w:hyperlink w:anchor="Par7055" w:history="1">
        <w:r>
          <w:rPr>
            <w:rFonts w:ascii="Calibri" w:hAnsi="Calibri" w:cs="Calibri"/>
            <w:color w:val="0000FF"/>
          </w:rPr>
          <w:t>&lt;62&gt;</w:t>
        </w:r>
      </w:hyperlink>
      <w:r>
        <w:rPr>
          <w:rFonts w:ascii="Calibri" w:hAnsi="Calibri" w:cs="Calibri"/>
        </w:rPr>
        <w:t>. Структура российского экспорта химических и нефтехимических товаров в 2013 году свидетельствует о сохраняющемся в нем приоритете преимущественно товаров сырьевого назначения и полупродуктов. Лидирующие позиции в товарной структуре экспорта традиционно занимают минеральные удобрения (30%). Стабильные и крупные поставки за рубеж сохраняются по следующим товарам: метанол, аммиак безводный, пластмасса и синтетические смолы, горно-химическое сырье и технический углерод, каучук синтетический, шины и камеры. Таким образом, сохраняющийся спрос на зарубежных рынках на российскую химическую продукцию низкой и средней степени технологического передела создает хорошие перспективы развития для планируемого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09" w:name="Par7055"/>
      <w:bookmarkEnd w:id="309"/>
      <w:r>
        <w:rPr>
          <w:rFonts w:ascii="Calibri" w:hAnsi="Calibri" w:cs="Calibri"/>
        </w:rPr>
        <w:t>&lt;62&gt; http://www.customs.ru/index.php?option=com_content&amp;view=article&amp;id=13858&amp;Itemid=2095.</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Стратегией развития химической и нефтехимической промышленности Российской Федерации на период до 2015 года </w:t>
      </w:r>
      <w:hyperlink w:anchor="Par7059" w:history="1">
        <w:r>
          <w:rPr>
            <w:rFonts w:ascii="Calibri" w:hAnsi="Calibri" w:cs="Calibri"/>
            <w:color w:val="0000FF"/>
          </w:rPr>
          <w:t>&lt;63&gt;</w:t>
        </w:r>
      </w:hyperlink>
      <w:r>
        <w:rPr>
          <w:rFonts w:ascii="Calibri" w:hAnsi="Calibri" w:cs="Calibri"/>
        </w:rPr>
        <w:t xml:space="preserve"> спрос на продукцию химического комплекса на внутреннем рынке будут формировать тенденции развития следующих отраслей: машиностроение (конструкционные полимерные материалы, изолирующие, шумопоглощающие материалы и др.), сельское хозяйство (минеральные удобрения, углекислоты и др.), строительная индустрия и жилищно-коммунальный сектор (полимерные материалы, стеклопластики, пенопласты) и др. </w:t>
      </w:r>
      <w:hyperlink w:anchor="Par7063" w:history="1">
        <w:r>
          <w:rPr>
            <w:rFonts w:ascii="Calibri" w:hAnsi="Calibri" w:cs="Calibri"/>
            <w:color w:val="0000FF"/>
          </w:rPr>
          <w:t>(таблица 39)</w:t>
        </w:r>
      </w:hyperlink>
      <w:r>
        <w:rPr>
          <w:rFonts w:ascii="Calibri" w:hAnsi="Calibri" w:cs="Calibri"/>
        </w:rPr>
        <w:t>. К тому же по ряду товарных групп значительное потребление происходит внутри самого российского химического комплекса (полиэтилен, полипропилен, полистирол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10" w:name="Par7059"/>
      <w:bookmarkEnd w:id="310"/>
      <w:r>
        <w:rPr>
          <w:rFonts w:ascii="Calibri" w:hAnsi="Calibri" w:cs="Calibri"/>
        </w:rPr>
        <w:t>&lt;63&gt; http://www.minpromtorg.gov.ru/ministry/strategic/sectoral/4.</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311" w:name="Par7061"/>
      <w:bookmarkEnd w:id="311"/>
      <w:r>
        <w:rPr>
          <w:rFonts w:ascii="Calibri" w:hAnsi="Calibri" w:cs="Calibri"/>
        </w:rPr>
        <w:t>Таблица 39</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312" w:name="Par7063"/>
      <w:bookmarkEnd w:id="312"/>
      <w:r>
        <w:rPr>
          <w:rFonts w:ascii="Calibri" w:hAnsi="Calibri" w:cs="Calibri"/>
        </w:rPr>
        <w:t>Состояние и прогноз спроса на одни из основных видов</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продукции со стороны внутреннего рынка, тыс. т</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92"/>
        <w:gridCol w:w="1270"/>
        <w:gridCol w:w="1271"/>
        <w:gridCol w:w="1271"/>
        <w:gridCol w:w="1247"/>
      </w:tblGrid>
      <w:tr w:rsidR="00703D06">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продукции</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2006 г.</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 г.</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 г.</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 г. в % к 2006 г.</w:t>
            </w:r>
          </w:p>
        </w:tc>
      </w:tr>
      <w:tr w:rsidR="00703D06">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Удобрения минеральные (в пересчете на 100% питательных веществ)</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3833</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7790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10290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268,5</w:t>
            </w:r>
          </w:p>
        </w:tc>
      </w:tr>
      <w:tr w:rsidR="00703D06">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Волокна и нити химические</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274</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418</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197,1</w:t>
            </w:r>
          </w:p>
        </w:tc>
      </w:tr>
      <w:tr w:rsidR="00703D06">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Полиэтилен</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1206</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1670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2470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204,8</w:t>
            </w:r>
          </w:p>
        </w:tc>
      </w:tr>
      <w:tr w:rsidR="00703D06">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Поликарбонат</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272,7</w:t>
            </w:r>
          </w:p>
        </w:tc>
      </w:tr>
      <w:tr w:rsidR="00703D06">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Лакокрасочные материалы</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1176</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1460</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1860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158,2</w:t>
            </w:r>
          </w:p>
        </w:tc>
      </w:tr>
      <w:tr w:rsidR="00703D06">
        <w:tc>
          <w:tcPr>
            <w:tcW w:w="45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Синтетические каучуки и латексы</w:t>
            </w:r>
          </w:p>
        </w:tc>
        <w:tc>
          <w:tcPr>
            <w:tcW w:w="12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551</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835</w:t>
            </w:r>
          </w:p>
        </w:tc>
        <w:tc>
          <w:tcPr>
            <w:tcW w:w="12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1350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245,0</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изменениями макроэкономических показателей и стратегиями и перспективами развития смежных отраслей и секторов экономики прогнозируется существенный рост емкости внутреннего рынка. В ценах соответствующих лет она возрастет в 2015 г. до 5000 млрд. руб. </w:t>
      </w:r>
      <w:hyperlink w:anchor="Par7106" w:history="1">
        <w:r>
          <w:rPr>
            <w:rFonts w:ascii="Calibri" w:hAnsi="Calibri" w:cs="Calibri"/>
            <w:color w:val="0000FF"/>
          </w:rPr>
          <w:t>(таблица 40)</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313" w:name="Par7104"/>
      <w:bookmarkEnd w:id="313"/>
      <w:r>
        <w:rPr>
          <w:rFonts w:ascii="Calibri" w:hAnsi="Calibri" w:cs="Calibri"/>
        </w:rPr>
        <w:t>Таблица 40</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314" w:name="Par7106"/>
      <w:bookmarkEnd w:id="314"/>
      <w:r>
        <w:rPr>
          <w:rFonts w:ascii="Calibri" w:hAnsi="Calibri" w:cs="Calibri"/>
        </w:rPr>
        <w:t>Состояние и прогноз емкости внутреннего рынка, млрд. руб.</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819"/>
        <w:gridCol w:w="1276"/>
        <w:gridCol w:w="1275"/>
        <w:gridCol w:w="2268"/>
      </w:tblGrid>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2006 г.</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 г.</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2015 г. в % к 2006 г.</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Совокупный спрос рынка в ценах соответствующих лет</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1198,6</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417,2</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ценах 2006 г.</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1198,6</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266,7</w:t>
            </w:r>
          </w:p>
        </w:tc>
      </w:tr>
      <w:tr w:rsidR="00703D06">
        <w:tc>
          <w:tcPr>
            <w:tcW w:w="4819"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том числе:</w:t>
            </w:r>
          </w:p>
        </w:tc>
        <w:tc>
          <w:tcPr>
            <w:tcW w:w="1276"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1275"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268" w:type="dxa"/>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r>
      <w:tr w:rsidR="00703D06">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удобрения минеральные (в пересчете на 100% питательных веществ)</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16233</w:t>
            </w:r>
          </w:p>
        </w:tc>
        <w:tc>
          <w:tcPr>
            <w:tcW w:w="1275"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21070</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131,5</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Волокна и нити химические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324</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213,0</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Синтетические смолы и пластические массы</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4829,1</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9790,0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202,7</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Материалы лакокрасочные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1261</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1980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157,0</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Красители синтетические</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37,0</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189,2</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прогнозируемый рост емкости внутреннего рынка, а также близость территории Московской агломерации создают хорошие перспективы для развития планируемого кластера. Благоприятному развитию кластера также будет способствовать выгодное расположение предприятий-участников относительно существующих транспортно-логистических узлов и крупных магистралей.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15" w:name="Par7147"/>
      <w:bookmarkEnd w:id="315"/>
      <w:r>
        <w:rPr>
          <w:rFonts w:ascii="Calibri" w:hAnsi="Calibri" w:cs="Calibri"/>
        </w:rPr>
        <w:t>Географическая концентрация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46" type="#_x0000_t75" style="width:436.5pt;height:394.5pt">
            <v:imagedata r:id="rId160" o:title=""/>
          </v:shape>
        </w:pict>
      </w:r>
    </w:p>
    <w:p w:rsidR="00703D06" w:rsidRDefault="00703D06">
      <w:pPr>
        <w:widowControl w:val="0"/>
        <w:autoSpaceDE w:val="0"/>
        <w:autoSpaceDN w:val="0"/>
        <w:adjustRightInd w:val="0"/>
        <w:spacing w:after="0" w:line="240" w:lineRule="auto"/>
        <w:jc w:val="center"/>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16" w:name="Par7151"/>
      <w:bookmarkEnd w:id="316"/>
      <w:r>
        <w:rPr>
          <w:rFonts w:ascii="Calibri" w:hAnsi="Calibri" w:cs="Calibri"/>
        </w:rPr>
        <w:t>Ключевые участники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потенциальных участников кластера могут выступить: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ОАО "Дорогобуж".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ООО "Лава".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ООО "Декопласт".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ООО "Полимер".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ООО "КОЛТЕК-спецреагенты".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ОАО "Вяземский завод синтетических продуктов".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ООО "Аэростар Контракт".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ЗАО "Стеклозавод "Ворга".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ООО "ВОСТЕК".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ОАО "Авангард".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ООО "Индустриальный парк Сафоново".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ООО "Новый ветер - ВДК".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ООО "Гильдия 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ООО "Интрейдинвест".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Муниципальное образование "Сафоновский район"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кластера также могут быть включены образовательные учреждения: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ФГБОУ ВПО "Смоленский государственный университет";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ФГОУ ВПО "Смоленская государственная сельскохозяйственная академия";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Филиал ГОУ СПО "Смоленский промышленно-экономический колледж" в г. Сафоново;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Филиал ФГБОУ ВПО "Московский государственный открытый университет" в г. Сафоново;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СОГБОУ СПО "Верхнеднепровский технологический техникум";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Учреждение дополнительного профессионального образования "ЭКСПЕРТ" Институт композитных материалов;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ОГБОУ "Смоленская академия профессионального образования";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 также - ГНУ "Смоленский научно-исследовательский институт сельского хозяйства" Российской академии сельскохозяйственных наук, филиал ФГБУ "Россельхозцентр" по Смоленской области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и др.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17" w:name="Par7180"/>
      <w:bookmarkEnd w:id="317"/>
      <w:r>
        <w:rPr>
          <w:rFonts w:ascii="Calibri" w:hAnsi="Calibri" w:cs="Calibri"/>
        </w:rPr>
        <w:t>Тип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 относится к смешанному типу.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18" w:name="Par7184"/>
      <w:bookmarkEnd w:id="318"/>
      <w:r>
        <w:rPr>
          <w:rFonts w:ascii="Calibri" w:hAnsi="Calibri" w:cs="Calibri"/>
        </w:rPr>
        <w:t>Предпосылки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предпосылками создания композитного кластера (включая производство продукции химической и нефтехимической промышленности)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для размещения предприятий композитных материалов и химической, нефтехимической промышленности </w:t>
      </w:r>
      <w:hyperlink w:anchor="Par7190" w:history="1">
        <w:r>
          <w:rPr>
            <w:rFonts w:ascii="Calibri" w:hAnsi="Calibri" w:cs="Calibri"/>
            <w:color w:val="0000FF"/>
          </w:rPr>
          <w:t>&lt;64&gt;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19" w:name="Par7190"/>
      <w:bookmarkEnd w:id="319"/>
      <w:r>
        <w:rPr>
          <w:rFonts w:ascii="Calibri" w:hAnsi="Calibri" w:cs="Calibri"/>
        </w:rPr>
        <w:t>&lt;64&gt; http://www.smolinvest.com/platform_for_business/prioritet_invest_platform.php.</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крупных "якорных" компаний ОАО "Авангард" и ОАО "Дорогобуж" - с развитой производственной инфраструктурой;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портфеля проработанных инвестиционных проектов создания, развития или реконструкции производственных мощностей, планируемых к реализации в рамках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возросшие потребности российского рынка в использовании современных инновационных материалов и технологий в различных отраслях промышленности.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части химического производства значительные капиталовложения планирует осуществить ОАО "Дорогобуж" в рамках модернизации производственных мощностей. В части производства резиновых и пластмассовых изделий капиталовложения планирует осуществить ОАО "Авангард" для технического перевооружения производства, инвестиционные вложения также будут осуществлять ООО "Полимер", ООО "Десногорский полимерный завод". В части производства композитных материалов реализацию инвестиционного проекта "Индустриально-технологический парк "ВОРГА" осуществляет ЗАО "Стеклозавод Ворга".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20" w:name="Par7197"/>
      <w:bookmarkEnd w:id="320"/>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модернизация производственной инфраструктуры, реализация совместных проектов в данной сфере;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предприятий, специализирующихся в сфере гражданского композитостроения;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уменьшение затрат на внедрение инноваций, повышение возможностей для внедрения внутренней специализации и стандартизации;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и качества НИОКР, формирование и развитие совместной научной базы и информационной среды;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совместной брендовой политики, взаимодействие при проведении маркетинга;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интернационализация, совместный выход на рынки третьих стран с поставкой продукции и закупкой комплектующих, гарантированный "supply chain";</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транспортных издержек, повышение эффективности системы поставок сырья, компонентов и комплектующих;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минимизация затрат на инфраструктуру, услуги естественных монополий, безопасность.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21" w:name="Par7210"/>
      <w:bookmarkEnd w:id="321"/>
      <w:r>
        <w:rPr>
          <w:rFonts w:ascii="Calibri" w:hAnsi="Calibri" w:cs="Calibri"/>
        </w:rPr>
        <w:t>Меры поддержки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поддержки территориальных кластеров приведены в </w:t>
      </w:r>
      <w:hyperlink w:anchor="Par9132" w:history="1">
        <w:r>
          <w:rPr>
            <w:rFonts w:ascii="Calibri" w:hAnsi="Calibri" w:cs="Calibri"/>
            <w:color w:val="0000FF"/>
          </w:rPr>
          <w:t>приложении 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22" w:name="Par7214"/>
      <w:bookmarkEnd w:id="322"/>
      <w:r>
        <w:rPr>
          <w:rFonts w:ascii="Calibri" w:hAnsi="Calibri" w:cs="Calibri"/>
        </w:rPr>
        <w:t>Ожидаемые KPI/Социально-экономические эффекты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ожидаемым социально-экономическим эффектам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увеличение инвестиций в основной капитал. В части химического производства значительные капиталовложения планирует осуществить ОАО "Дорогобуж" в рамках модернизации производственных мощностей. В части производства резиновых и пластмассовых изделий капиталовложения планирует осуществить ОАО "Авангард" для технического перевооружения производства, инвестиционные вложения также будут осуществлять: ООО "Полимер", ООО "Десногорский полимерный завод" </w:t>
      </w:r>
      <w:hyperlink w:anchor="Par7219" w:history="1">
        <w:r>
          <w:rPr>
            <w:rFonts w:ascii="Calibri" w:hAnsi="Calibri" w:cs="Calibri"/>
            <w:color w:val="0000FF"/>
          </w:rPr>
          <w:t>&lt;65&gt;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23" w:name="Par7219"/>
      <w:bookmarkEnd w:id="323"/>
      <w:r>
        <w:rPr>
          <w:rFonts w:ascii="Calibri" w:hAnsi="Calibri" w:cs="Calibri"/>
        </w:rPr>
        <w:t>&lt;65&gt; Пояснительная записка к показателям прогноза социально-экономического развития Смоленской области на 2014 год и на плановый период 2015 и 2016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объемов реализуемой продукции участников кластера за счет технического перевооружения и внедрения новых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новых высокопроизводительных рабочих мест;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объемов продукции среднего и высокого передела, повышение конкурентоспособности в секторах высокотехнологичных химических продуктов;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числа участников малого и среднего бизнеса, включаемых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количества разработанных, внедренных и запатентованных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выпуск импортозамещающей продукции;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необходимых условий для продвижения инновационной российской продукции и технологий на мировые рынки.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24" w:name="Par7229"/>
      <w:bookmarkEnd w:id="324"/>
      <w:r>
        <w:rPr>
          <w:rFonts w:ascii="Calibri" w:hAnsi="Calibri" w:cs="Calibri"/>
        </w:rPr>
        <w:t>Управленческая и юридическая схемы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органов власти Смоленской области, руководители промышленных предприятий - участников кластера, руководители учебных заведений.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Совета является обеспечение стратегического руководства деятельностью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объединение членов Партнерства для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в обществе авторитета, престижа и общественной значимости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постоянная нацеленность на повышение стандартов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реализации и защите законных прав и интересов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25" w:name="Par7244"/>
      <w:bookmarkEnd w:id="325"/>
      <w:r>
        <w:rPr>
          <w:rFonts w:ascii="Calibri" w:hAnsi="Calibri" w:cs="Calibri"/>
        </w:rPr>
        <w:t>Риски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основным рискам проекта можно отнести: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проблему утилизации и ограниченную ремонтопригодность конечных композиционных изделий;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несовершенство технологий, изношенность основных фондов, низкий выход готовой продукции;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низкую степень передела первичного сырья, несоответствие продукции требования международных стандартов, низкую конкурентоспособность в секторах высокотехнологичных химических продуктов;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увеличение экспорта сырьевых компонентов химической промышленности, усугубление внутреннего "сырьевого голода" и усиление зависимости производителей от импорта сырья и полуфабрикатов;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случае приближения внутренних цен и тарифов на газ и электроэнергию к мировому уровню утрату ценового преимущества для российской химической продукции низких степеней передела первичного сырья;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кадрового дефицита квалифицированных рабочих и инженерно-технических специалистов;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мер защиты иностранных рынков в отношении импорта российских товаров (Бразилия - в отношении импорта российских шин для автобусов и грузовых автомобилей, Европейский Союз - нитрат аммония, Индия - технический углерод, кальцинированная сода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усиление негативного воздействия на окружающую среду.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26" w:name="Par7256"/>
      <w:bookmarkEnd w:id="326"/>
      <w:r>
        <w:rPr>
          <w:rFonts w:ascii="Calibri" w:hAnsi="Calibri" w:cs="Calibri"/>
        </w:rPr>
        <w:t>Приоритеты и мероприятия по развитию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мероприятия по развитию кластера приведены в </w:t>
      </w:r>
      <w:hyperlink w:anchor="Par8318" w:history="1">
        <w:r>
          <w:rPr>
            <w:rFonts w:ascii="Calibri" w:hAnsi="Calibri" w:cs="Calibri"/>
            <w:color w:val="0000FF"/>
          </w:rPr>
          <w:t>приложении 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327" w:name="Par7260"/>
      <w:bookmarkEnd w:id="327"/>
      <w:r>
        <w:rPr>
          <w:rFonts w:ascii="Calibri" w:hAnsi="Calibri" w:cs="Calibri"/>
        </w:rPr>
        <w:t>Кластер приборостроения и электротехники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28" w:name="Par7262"/>
      <w:bookmarkEnd w:id="328"/>
      <w:r>
        <w:rPr>
          <w:rFonts w:ascii="Calibri" w:hAnsi="Calibri" w:cs="Calibri"/>
        </w:rPr>
        <w:t>Специализация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планируются производство электронной аппаратуры авиационного и космического применения, производство электротехнических машин, электроагрегатов, электроустановочных и светотехнических изделий, производство гидрометрических приборов, научно-исследовательская и образовательная деятельность.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планируемые виды продукции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электронная аппаратура авиационного и космического применения, устройства ЧПУ;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бортовые приборы контроля и измерения, спецтехника;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приборы для технического контроля и контроля безопасности в промышленности;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телекоммуникационное оборудование и радиоэлектронная аппаратура;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электрогенераторы, электродвигатели, электрооборудование;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силовые электрические провода и кабели;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комплексы светотехнического оборудования аэродромов, светотехнические приборы;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гидрометрические приборы;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приборы и системы контроля технологических процессов для измерения расхода жидкостей и газов.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Потребителями продукции кластера планируются предприятия и организации различных отраслей экономики и социальной сферы: топливно-энергетического комплекса, транспортного комплекса, агропромышленного комплекса, оборонной промышленности, коммунального хозяйства и др.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29" w:name="Par7277"/>
      <w:bookmarkEnd w:id="329"/>
      <w:r>
        <w:rPr>
          <w:rFonts w:ascii="Calibri" w:hAnsi="Calibri" w:cs="Calibri"/>
        </w:rPr>
        <w:t>Рынки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рынками сбыта продукции кластера планируются как внутренний рынок РФ, так и рынки зарубежных развивающихся стран.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Мировая полупроводниковая промышленность стабильно растет, достигнув сегодня объема порядка 338 млрд. долл. США. При сохранении текущих темпов роста к 2017 г. рынок может увеличиться на половину от текущего значения </w:t>
      </w:r>
      <w:hyperlink w:anchor="Par7282" w:history="1">
        <w:r>
          <w:rPr>
            <w:rFonts w:ascii="Calibri" w:hAnsi="Calibri" w:cs="Calibri"/>
            <w:color w:val="0000FF"/>
          </w:rPr>
          <w:t>&lt;66&gt;</w:t>
        </w:r>
      </w:hyperlink>
      <w:r>
        <w:rPr>
          <w:rFonts w:ascii="Calibri" w:hAnsi="Calibri" w:cs="Calibri"/>
        </w:rPr>
        <w:t xml:space="preserve">. Основными зарубежными отраслями - потребителями электронных компонентов являются автомобилестроение, промышленная электроника, приборостроение. Главными драйверами роста выступают рынки развивающихся стран: Китай, Индия, Бразилия и др. Также об этом свидетельствует рост экспорта машиностроительной продукции в целом (включающий приборостроение и электротехническую промышленность) из России. В 2012 году экспорт машиностроительной продукции в целом (включающий транспортное и энергетическое машиностроение) из России составил 26,4 млрд. долл. США </w:t>
      </w:r>
      <w:hyperlink w:anchor="Par7283" w:history="1">
        <w:r>
          <w:rPr>
            <w:rFonts w:ascii="Calibri" w:hAnsi="Calibri" w:cs="Calibri"/>
            <w:color w:val="0000FF"/>
          </w:rPr>
          <w:t>&lt;67&gt;</w:t>
        </w:r>
      </w:hyperlink>
      <w:r>
        <w:rPr>
          <w:rFonts w:ascii="Calibri" w:hAnsi="Calibri" w:cs="Calibri"/>
        </w:rPr>
        <w:t>, что равнялось 5% от суммарного экспорта товаров из России за тот же период (2010 - 21,4 млрд. долл. США, 2011 - 23,2 млрд. долл. США). В страны дальнего зарубежья в 2012 году было направлено 61% экспорта, в страны СНГ - 39%. Таким образом, будут созданы хорошие перспективы для развития поставок продукции предприятий кластера на быстрорастущие рынки Казахстана, Индии, Бразилии и других развивающихся стран. Планируется, что к 2020 году уровень экспорта продукции машиностроения вырастет до 92 млрд. долл. США, а доля машиностроения в экспорте - до 18%.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30" w:name="Par7282"/>
      <w:bookmarkEnd w:id="330"/>
      <w:r>
        <w:rPr>
          <w:rFonts w:ascii="Calibri" w:hAnsi="Calibri" w:cs="Calibri"/>
        </w:rPr>
        <w:t>&lt;66&gt; http://www.oez-zel.com/files/cluster/F%20&amp;%20S%20research.pdf.</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31" w:name="Par7283"/>
      <w:bookmarkEnd w:id="331"/>
      <w:r>
        <w:rPr>
          <w:rFonts w:ascii="Calibri" w:hAnsi="Calibri" w:cs="Calibri"/>
        </w:rPr>
        <w:t>&lt;67&gt; Товарная структура ЭКСПОРТА Российской Федерации со всеми странами январь - декабрь 2012 г. http://www.customs.ru/index2.php?option=com_content&amp;view=article&amp;id=17089:-2012-&amp;catid=52:2011-01-24-16-28-57&amp;Itemid=1978.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точки зрения внутреннего рынка Московская агломерация и Санкт-Петербург - единственные регионы, представленные на всех переделах цепочки создания стоимости и развития большинства направлений электронной и электротехнической промышленности. Следовательно, основной спрос (помимо предприятий военно-промышленного комплекса) на продукцию предприятий кластера на внутреннем рынке будет определять внутреннее потребление на территории Московской агломерации и ЦФО в целом. Благоприятному развитию кластера будет способствовать выгодное расположение "якорных" предприятий-участников относительно существующих транспортно-логистических узлов и магистралей (близость потенциальных клиентов в Московской агломерации и странах СНГ).</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32" w:name="Par7287"/>
      <w:bookmarkEnd w:id="332"/>
      <w:r>
        <w:rPr>
          <w:rFonts w:ascii="Calibri" w:hAnsi="Calibri" w:cs="Calibri"/>
        </w:rPr>
        <w:t>Географическая концентрация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47" type="#_x0000_t75" style="width:436.5pt;height:439.5pt">
            <v:imagedata r:id="rId161" o:title=""/>
          </v:shape>
        </w:pic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33" w:name="Par7291"/>
      <w:bookmarkEnd w:id="333"/>
      <w:r>
        <w:rPr>
          <w:rFonts w:ascii="Calibri" w:hAnsi="Calibri" w:cs="Calibri"/>
        </w:rPr>
        <w:t>Ключевые участники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потенциальных участников кластера могут выступить: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ОАО "Измеритель".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ООО "Источник Тока".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ОАО "Пирамида".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ОАО "Смоленский завод радиодеталей".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ЗАО "ПО "Искра".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ОАО "ОСРАМ".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ЗАО "НИИ современных телекоммуникационных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ООО "Смоленский электротехнический завод".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ООО НПО "Рубикон-Инновация".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ФГУП СПО "Аналитприбор".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ОАО "Сафоновский электромашиностроительный завод".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ОАО "Сафоновский завод "Гидрометприбор".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ООО "Смолкабель".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ОАО "Теплоконтроль".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ООО "ВЭТЗ".</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ЗАО "Инженерный центр "Электролуч".</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ОАО "Гагаринский светотехнический завод".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ЗАО "Росстеклоприбор".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ООО "Термоконтроль".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кластера также могут быть включены образовательные учреждения: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филиал Национального исследовательского университета "МЭИ" в г. Смоленске;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филиал ФГБОУ ВПО "Московский государственный машиностроительный университет (МАМИ)" в г. Смоленске;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ОГБОУ СПО "Смоленский промышленно-экономический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ОГБОУ СПО "Смоленский машиностроительный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СОГБОУ СПО "Десногорский энергетический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СОГБОУ СПО "Вяземский политехнический техникум";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СОГБОУ СПО "Сафоновский индустриально-технологический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 также научно-исследовательские учреждения - ОАО "Научно-исследовательский институт машиностроения".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в состав кластера могут войти организации, способствующие кооперации: Смоленское региональное объединение работодателей "Научно-промышленный союз", Смоленская Торгово-промышленная палата, Смоленское региональное отделение ООО "Союз машиностроителей России" и др.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34" w:name="Par7324"/>
      <w:bookmarkEnd w:id="334"/>
      <w:r>
        <w:rPr>
          <w:rFonts w:ascii="Calibri" w:hAnsi="Calibri" w:cs="Calibri"/>
        </w:rPr>
        <w:t>Тип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 приборостроения и электротехники относится к смешанному типу.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35" w:name="Par7328"/>
      <w:bookmarkEnd w:id="335"/>
      <w:r>
        <w:rPr>
          <w:rFonts w:ascii="Calibri" w:hAnsi="Calibri" w:cs="Calibri"/>
        </w:rPr>
        <w:t>Предпосылки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предпосылками создания кластера приборостроения и электротехники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географическое расположение Смоленской области вблизи от государственных границ, международных транспортных коридоров, основных рынков сбыта;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экономический потенциал области: относительно высокий уровень заработной платы, невысокая стоимость аренды производственных и складских помещений, высокий показатель численности студентов на 10000 человек, наличие инвестиционных площадок для размещения предприятий приборостроения и электротехнической промышленности </w:t>
      </w:r>
      <w:hyperlink w:anchor="Par7334" w:history="1">
        <w:r>
          <w:rPr>
            <w:rFonts w:ascii="Calibri" w:hAnsi="Calibri" w:cs="Calibri"/>
            <w:color w:val="0000FF"/>
          </w:rPr>
          <w:t>&lt;68&gt;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36" w:name="Par7334"/>
      <w:bookmarkEnd w:id="336"/>
      <w:r>
        <w:rPr>
          <w:rFonts w:ascii="Calibri" w:hAnsi="Calibri" w:cs="Calibri"/>
        </w:rPr>
        <w:t>&lt;68&gt; http://www.smolinvest.com/platform_for_business/prioritet_invest_platform.php.</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"якорных" организаций с длительной историей и развитой производственной инфраструктурой (ФГУП "СПО "Аналитприбор" создан в 1960 как Смоленский завод средств автоматики, Смоленский ОАО "Измеритель" основан в 1968 году МИНАВИАПРОМом СССР, ООО "Смоленский электротехнический завод" создан на базе предприятия Всероссийского Ордена Трудового Красного Знамени общества слепых, функционирующего с 1945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высокий уровень промышленной агломерации (концентрация промышленного производства по отдельным территориям). Около 46% промышленного производства приходится на г. Смоленск. Также значимый вклад ВРП Смоленской области вносят г. Десногорск, Вяземский, Дорогобужский и Рославльский районы. Вместе с г. Смоленском в этих районах производится около 84% промышленной продукции </w:t>
      </w:r>
      <w:hyperlink w:anchor="Par7339" w:history="1">
        <w:r>
          <w:rPr>
            <w:rFonts w:ascii="Calibri" w:hAnsi="Calibri" w:cs="Calibri"/>
            <w:color w:val="0000FF"/>
          </w:rPr>
          <w:t>&lt;69&gt;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37" w:name="Par7339"/>
      <w:bookmarkEnd w:id="337"/>
      <w:r>
        <w:rPr>
          <w:rFonts w:ascii="Calibri" w:hAnsi="Calibri" w:cs="Calibri"/>
        </w:rPr>
        <w:t>&lt;69&gt; http://www.admin-smolensk.ru/pages/Strategiya_razvitiya_Smolenskoy_oblasti.htm.</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портфеля проработанных инвестиционных проектов создания, развития или реконструкции производственных мощностей, планируемых к реализации в рамках Кластера. ОАО "Сафоновский завод "Гидрометприбор" реализует инвестиционный проект "Разработка реконструкции и технологии изготовления опытно промышленного образца литийионного аккумулятора с электродами из нанонных структур". Провести техническое перевооружение и реконструкцию производства планируют ОАО "Измеритель", ООО "Вяземский электротехнический завод - энергосистемы", ООО "Смоленский электротехнический завод". В результате развития предприятий рост производства прогнозируется на ФГУП СПО "Аналитприбор";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исторически сложившийся комплекс предприятий машиностроительной отрасли, созданный еще в СССР, потенциал наработанных коммерческих связей и научно-технической кооперации, наличие производственной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электротехнической отрасли Смоленской области активно развиваются малые и средние предприятия;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основная часть продукции российского приборостроения имела оборонное значение в течение длительного времени, в связи с чем назрела необходимость обоснованного перепрофилирования этой отрасли.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38" w:name="Par7346"/>
      <w:bookmarkEnd w:id="338"/>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транспортных издержек, повышение эффективности системы поставок сырья, компонентов и комплектующих;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и модернизация производственной инфраструктуры, реализация совместных проектов в данной сфере;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специализированных и производительных человеческих ресурсов, взаимодействие в области повышения квалификации и обучения персонала;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уменьшение затрат на внедрение инноваций, повышение возможностей для внедрения внутренней специализации и стандартизации;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и качества НИОКР, формирование и развитие совместной научной базы и информационной среды;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совместной брендовой политики, взаимодействие при проведении маркетинга;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интернационализация, совместный выход на рынки третьих стран с поставкой продукции и закупкой комплектующих, гарантированный "supply chain";</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доступности различного рода финансовых ресурсов, участие в федеральных и региональных программах поддержки кластерного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минимизация затрат на инфраструктуру, услуги естественных монополий, безопасность.</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39" w:name="Par7359"/>
      <w:bookmarkEnd w:id="339"/>
      <w:r>
        <w:rPr>
          <w:rFonts w:ascii="Calibri" w:hAnsi="Calibri" w:cs="Calibri"/>
        </w:rPr>
        <w:t>Меры поддержки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поддержки территориальных кластеров приведены в </w:t>
      </w:r>
      <w:hyperlink w:anchor="Par9132" w:history="1">
        <w:r>
          <w:rPr>
            <w:rFonts w:ascii="Calibri" w:hAnsi="Calibri" w:cs="Calibri"/>
            <w:color w:val="0000FF"/>
          </w:rPr>
          <w:t>приложении 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40" w:name="Par7363"/>
      <w:bookmarkEnd w:id="340"/>
      <w:r>
        <w:rPr>
          <w:rFonts w:ascii="Calibri" w:hAnsi="Calibri" w:cs="Calibri"/>
        </w:rPr>
        <w:t>Ожидаемые KPI/Социально-экономические эффекты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ожидаемым социально-экономическим эффектам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объемов реализуемой продукции участников кластера за счет технического перевооружения и внедрения новых технологий (проекты ОАО "Сафоновский завод "Гидрометприбор", ОАО "Измеритель", ООО "ВЭТЗ", ООО "Смоленский электротехнический завод", ФГУП СПО "Аналитприбор" и ОАО "ОСРАМ");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новых высокопроизводительных рабочих мест за счет модернизации действующих производств;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370" w:history="1">
        <w:r>
          <w:rPr>
            <w:rFonts w:ascii="Calibri" w:hAnsi="Calibri" w:cs="Calibri"/>
            <w:color w:val="0000FF"/>
          </w:rPr>
          <w:t>&lt;70&gt;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41" w:name="Par7370"/>
      <w:bookmarkEnd w:id="341"/>
      <w:r>
        <w:rPr>
          <w:rFonts w:ascii="Calibri" w:hAnsi="Calibri" w:cs="Calibri"/>
        </w:rPr>
        <w:t>&lt;70&gt;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числа участников малого и среднего бизнеса, включаемых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42" w:name="Par7374"/>
      <w:bookmarkEnd w:id="342"/>
      <w:r>
        <w:rPr>
          <w:rFonts w:ascii="Calibri" w:hAnsi="Calibri" w:cs="Calibri"/>
        </w:rPr>
        <w:t>Управленческая и юридическая схемы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планируется осуществлять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Совета является обеспечение стратегического руководства деятельностью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объединение членов Партнерства для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в обществе авторитета, престижа и общественной значимости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постоянная нацеленность на повышение стандартов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реализации и защите законных прав и интересов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43" w:name="Par7389"/>
      <w:bookmarkEnd w:id="343"/>
      <w:r>
        <w:rPr>
          <w:rFonts w:ascii="Calibri" w:hAnsi="Calibri" w:cs="Calibri"/>
        </w:rPr>
        <w:t>Риски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основным рискам проекта можно отнести: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сокращение отставания азиатских стран в мировых НИОКР (понимание важности технологического лидерства);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общемировую тенденцию постоянного удорожания НИОКР;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 внутреннем и внешнем рынках усиливается конкуренция со стороны зарубежных производителей;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необходимость повышения качества и надежности производимой продукции в соответствии с мировыми стандартами;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дальнейший спад инновационной активности, неэффективность механизмов продвижения перспективных разработок в производство, утрату перспективных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острый дефицит квалифицированных кадров;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ухудшение качественного состава научно-производственных кадров.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44" w:name="Par7400"/>
      <w:bookmarkEnd w:id="344"/>
      <w:r>
        <w:rPr>
          <w:rFonts w:ascii="Calibri" w:hAnsi="Calibri" w:cs="Calibri"/>
        </w:rPr>
        <w:t>Приоритеты и мероприятия по развитию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мероприятия по развитию кластера приведены в </w:t>
      </w:r>
      <w:hyperlink w:anchor="Par8318" w:history="1">
        <w:r>
          <w:rPr>
            <w:rFonts w:ascii="Calibri" w:hAnsi="Calibri" w:cs="Calibri"/>
            <w:color w:val="0000FF"/>
          </w:rPr>
          <w:t>приложении 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345" w:name="Par7404"/>
      <w:bookmarkEnd w:id="345"/>
      <w:r>
        <w:rPr>
          <w:rFonts w:ascii="Calibri" w:hAnsi="Calibri" w:cs="Calibri"/>
        </w:rPr>
        <w:t>Кластер производства стройматериалов и деревообработки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46" w:name="Par7406"/>
      <w:bookmarkEnd w:id="346"/>
      <w:r>
        <w:rPr>
          <w:rFonts w:ascii="Calibri" w:hAnsi="Calibri" w:cs="Calibri"/>
        </w:rPr>
        <w:t>Специализация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будут являться производство строительных материалов, изделий и конструкций, научно-исследовательская и образовательная деятельность. Отдельным направлением выделяется развитие глубокой переработки древесины.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виды продукции, выпускаемой предполагаемыми участниками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фундаменты и элементы нулевого цикла (сваи, ленточные фундаменты, блоки стен подвалов, фундаменты колонн);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изделия для строительства гражданских зданий (плиты пустотные, балки/плиты лоджий и балконов, лестничные марши, перемычки, плиты опорные, плиты стеновые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изделия для строительства промышленных зданий (колонны, ригели, балки фундаментные, диафрагмы жесткости, плиты перекрытий ребристые, плиты покрытий ребристые, панели стеновые);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изделия для устройства коммуникаций (лотки, плиты теплотрасс, опоры ЛЭП, кольца и крышки колодцев);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элементы дорожного строительства и ограждения (плиты дорожные, бордюрные камни, плитка тротуарная, лотки дорожные водоотводные, панель ограждения, фундамент забора);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бетон товарный;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деревянные строительные конструкции и столярные изделия (блоки дверные, блоки оконные, наличники, плинтусы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материалы для внутренней отделки, мебель;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напольные покрытия;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строительные материалы;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корпусная мебель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Предполагается, что потребителями продукции кластера будут строительные предприятия как государственного, так и частного сектора. Отдельной группой потребителей можно выделить физических лиц, проводящих ремонтные работы или строительство частных домов.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Продукция кластера будет ориентирована в основном на внутренний российский рынок (Московская агломерация и ЦФО в целом), при этом есть хорошие перспективы увеличивать объемы реализации продукции на рынках стран Восточной Европы.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47" w:name="Par7424"/>
      <w:bookmarkEnd w:id="347"/>
      <w:r>
        <w:rPr>
          <w:rFonts w:ascii="Calibri" w:hAnsi="Calibri" w:cs="Calibri"/>
        </w:rPr>
        <w:t xml:space="preserve">Рынки </w:t>
      </w:r>
      <w:hyperlink w:anchor="Par7427" w:history="1">
        <w:r>
          <w:rPr>
            <w:rFonts w:ascii="Calibri" w:hAnsi="Calibri" w:cs="Calibri"/>
            <w:color w:val="0000FF"/>
          </w:rPr>
          <w:t>&lt;71&gt;</w:t>
        </w:r>
      </w:hyperlink>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48" w:name="Par7427"/>
      <w:bookmarkEnd w:id="348"/>
      <w:r>
        <w:rPr>
          <w:rFonts w:ascii="Calibri" w:hAnsi="Calibri" w:cs="Calibri"/>
        </w:rPr>
        <w:t>&lt;71&gt; Данные раздела "Рынки" представлены с соответствии 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Статистическим сборником "Регионы России. Социально-экономические показатели. 2013".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Прогнозом социально-экономического развития Смоленской области на 2014 год и плановый период 2015 и 2016 годов.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Постановлением Администрации Смоленской области от 04.07.2011 N 372 утверждена Региональная целевая </w:t>
      </w:r>
      <w:hyperlink r:id="rId162" w:history="1">
        <w:r>
          <w:rPr>
            <w:rFonts w:ascii="Calibri" w:hAnsi="Calibri" w:cs="Calibri"/>
            <w:color w:val="0000FF"/>
          </w:rPr>
          <w:t>программа</w:t>
        </w:r>
      </w:hyperlink>
      <w:r>
        <w:rPr>
          <w:rFonts w:ascii="Calibri" w:hAnsi="Calibri" w:cs="Calibri"/>
        </w:rPr>
        <w:t xml:space="preserve"> "Развитие жилищного строительства в Смоленской области" на 2011 - 2015 годы, включая </w:t>
      </w:r>
      <w:hyperlink r:id="rId163" w:history="1">
        <w:r>
          <w:rPr>
            <w:rFonts w:ascii="Calibri" w:hAnsi="Calibri" w:cs="Calibri"/>
            <w:color w:val="0000FF"/>
          </w:rPr>
          <w:t>подпрограмму</w:t>
        </w:r>
      </w:hyperlink>
      <w:r>
        <w:rPr>
          <w:rFonts w:ascii="Calibri" w:hAnsi="Calibri" w:cs="Calibri"/>
        </w:rPr>
        <w:t xml:space="preserve"> "Развитие стройиндустрии и промышленности строительных материалов. Содействие применению энергоэффективности в строительстве".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Основной спрос на продукцию данного кластера в прогнозном периоде будет определяться внутренним потреблением на территории Смоленской области, Московской агломерации и ЦФО в целом. Данная ситуация обусловлена принятием ряда федеральных и региональных программ в сфере жилищного строительства.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Динамика развития строительной отрасли в Смоленской области, Московской агломерации и ЦФО в период 2010 - 2012 гг. представлена в </w:t>
      </w:r>
      <w:hyperlink w:anchor="Par7441" w:history="1">
        <w:r>
          <w:rPr>
            <w:rFonts w:ascii="Calibri" w:hAnsi="Calibri" w:cs="Calibri"/>
            <w:color w:val="0000FF"/>
          </w:rPr>
          <w:t>таблице 42</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таблиц дана в соответствии с официальным текстом документа.</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349" w:name="Par7439"/>
      <w:bookmarkEnd w:id="349"/>
      <w:r>
        <w:rPr>
          <w:rFonts w:ascii="Calibri" w:hAnsi="Calibri" w:cs="Calibri"/>
        </w:rPr>
        <w:t>Таблица 42</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350" w:name="Par7441"/>
      <w:bookmarkEnd w:id="350"/>
      <w:r>
        <w:rPr>
          <w:rFonts w:ascii="Calibri" w:hAnsi="Calibri" w:cs="Calibri"/>
        </w:rPr>
        <w:t>Динамика развития строительной отрасли в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Московской агломерации и ЦФО в период 2010 - 2012 гг.</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969"/>
        <w:gridCol w:w="2778"/>
        <w:gridCol w:w="956"/>
        <w:gridCol w:w="956"/>
        <w:gridCol w:w="956"/>
      </w:tblGrid>
      <w:tr w:rsidR="00703D06">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показателя</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r>
      <w:tr w:rsidR="00703D06">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жилищного строительства в ЦФО</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17461,0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18064,0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18222,0</w:t>
            </w:r>
          </w:p>
        </w:tc>
      </w:tr>
      <w:tr w:rsidR="00703D06">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жилищного строительства в Московской агломерации</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9707,0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10052,0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9713,0</w:t>
            </w:r>
          </w:p>
        </w:tc>
      </w:tr>
      <w:tr w:rsidR="00703D06">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Объем жилищного строительства в Смоленской области</w:t>
            </w:r>
          </w:p>
        </w:tc>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тыс. кв. м общей площади</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348,0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371,0</w:t>
            </w:r>
          </w:p>
        </w:tc>
        <w:tc>
          <w:tcPr>
            <w:tcW w:w="9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261,0</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улучшения жилищных условий населения постановлением Администрации Смоленской области от 04.07.2011 N 372 утверждена Региональная целевая </w:t>
      </w:r>
      <w:hyperlink r:id="rId164" w:history="1">
        <w:r>
          <w:rPr>
            <w:rFonts w:ascii="Calibri" w:hAnsi="Calibri" w:cs="Calibri"/>
            <w:color w:val="0000FF"/>
          </w:rPr>
          <w:t>программа</w:t>
        </w:r>
      </w:hyperlink>
      <w:r>
        <w:rPr>
          <w:rFonts w:ascii="Calibri" w:hAnsi="Calibri" w:cs="Calibri"/>
        </w:rPr>
        <w:t xml:space="preserve"> "Развитие жилищного строительства в Смоленской области" на 2011 - 2015 годы, включая </w:t>
      </w:r>
      <w:hyperlink r:id="rId165" w:history="1">
        <w:r>
          <w:rPr>
            <w:rFonts w:ascii="Calibri" w:hAnsi="Calibri" w:cs="Calibri"/>
            <w:color w:val="0000FF"/>
          </w:rPr>
          <w:t>подпрограмму</w:t>
        </w:r>
      </w:hyperlink>
      <w:r>
        <w:rPr>
          <w:rFonts w:ascii="Calibri" w:hAnsi="Calibri" w:cs="Calibri"/>
        </w:rPr>
        <w:t xml:space="preserve"> "Развитие стройиндустрии и промышленности строительных материалов. Содействие применению энергоэффективности в строительстве". В соответствии с указанной целевой </w:t>
      </w:r>
      <w:hyperlink r:id="rId166" w:history="1">
        <w:r>
          <w:rPr>
            <w:rFonts w:ascii="Calibri" w:hAnsi="Calibri" w:cs="Calibri"/>
            <w:color w:val="0000FF"/>
          </w:rPr>
          <w:t>программой</w:t>
        </w:r>
      </w:hyperlink>
      <w:r>
        <w:rPr>
          <w:rFonts w:ascii="Calibri" w:hAnsi="Calibri" w:cs="Calibri"/>
        </w:rPr>
        <w:t xml:space="preserve"> ввод жилья в краткосрочном периоде планируется: на 2014 год - 411 тыс. кв. м; 2015 год - 440 тыс. кв. м; 2016 год - 469 тыс. кв. м. Данная ситуация приведет к росту потребности в строительных материалах. При этом предприятия Смоленской области способны обеспечить не только внутренние потребности, но и экспортировать свою продукцию на территорию активно развивающейся Московской агломерации (объем ввоза цемента на территорию Московской агломерации в период 2010 - 2012 гг. имеет тенденцию стабильного роста - около 200 тыс. т ежегодно).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Индекс производства по обработке древесины и производству изделий из дерева по Смоленской области прогнозируется в 2014 году - 101,2%, в 2015 году - 101,6%, в 2016 году - 101,9%.</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Благоприятному развитию кластера производства стройматериалов и деревообработки способствует выгодное приграничное положение региона (например, в г. Гагарине расположен ближайший к рынкам Белоруссии и стран Балтии завод австрийской группы компаний "Эггер" по производству древесных плит различной модификации).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51" w:name="Par7469"/>
      <w:bookmarkEnd w:id="351"/>
      <w:r>
        <w:rPr>
          <w:rFonts w:ascii="Calibri" w:hAnsi="Calibri" w:cs="Calibri"/>
        </w:rPr>
        <w:t>Географическая концентрация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48" type="#_x0000_t75" style="width:436.5pt;height:357.75pt">
            <v:imagedata r:id="rId167" o:title=""/>
          </v:shape>
        </w:pict>
      </w:r>
    </w:p>
    <w:p w:rsidR="00703D06" w:rsidRDefault="00703D06">
      <w:pPr>
        <w:widowControl w:val="0"/>
        <w:autoSpaceDE w:val="0"/>
        <w:autoSpaceDN w:val="0"/>
        <w:adjustRightInd w:val="0"/>
        <w:spacing w:after="0" w:line="240" w:lineRule="auto"/>
        <w:jc w:val="center"/>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52" w:name="Par7473"/>
      <w:bookmarkEnd w:id="352"/>
      <w:r>
        <w:rPr>
          <w:rFonts w:ascii="Calibri" w:hAnsi="Calibri" w:cs="Calibri"/>
        </w:rPr>
        <w:t>Ключевые участники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Предполагается, что участниками кластера станут следующие промышленные предприятия: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ООО "Игоревский деревообрабатывающий комбинат".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ООО "ЭГГЕР ДРЕВПРОДУКТ ГАГАРИН".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ООО "Мебельный комбинат "Ярцево".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ООО "Смоленский завод ЖБИ-2".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ООО "Стройдеталь".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ОАО "Завод ЖБИ".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ОАО "Вяземский ДСК".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ОАО "Сафоновский ССК".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Вяземский завод железобетонных шпал - филиал ОАО "РЖД".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ЗАО "Монолит".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ООО "Кирпичный завод".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ООО "Теллура".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ОАО "Гнездово".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ООО "Гнездовский завод ЖБИ".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ОАО "Смоленский ДОК".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ЗАО "Фаянс".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Наряду с промышленными предприятиями в структуру кластера войдут образовательные учреждения различного уровня: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Смоленский филиал ФГБОУ ВПО "Московский государственный университет путей сообщения";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Смоленский филиал ФГБОУ ВПО "Московский автомобильно-дорожный государственный технический университет (МАДИ)";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ОГБОУ СПО "Смоленский строительный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53" w:name="Par7497"/>
      <w:bookmarkEnd w:id="353"/>
      <w:r>
        <w:rPr>
          <w:rFonts w:ascii="Calibri" w:hAnsi="Calibri" w:cs="Calibri"/>
        </w:rPr>
        <w:t>Тип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Кластер производства стройматериалов и деревообработки относится к дискретному типу.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54" w:name="Par7501"/>
      <w:bookmarkEnd w:id="354"/>
      <w:r>
        <w:rPr>
          <w:rFonts w:ascii="Calibri" w:hAnsi="Calibri" w:cs="Calibri"/>
        </w:rPr>
        <w:t>Предпосылки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предпосылками создания кластера производства стройматериалов и деревообработки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Стимулирование развития рынка стройматериалов и деревообработки посредством принятия Региональной целевой </w:t>
      </w:r>
      <w:hyperlink r:id="rId168" w:history="1">
        <w:r>
          <w:rPr>
            <w:rFonts w:ascii="Calibri" w:hAnsi="Calibri" w:cs="Calibri"/>
            <w:color w:val="0000FF"/>
          </w:rPr>
          <w:t>программы</w:t>
        </w:r>
      </w:hyperlink>
      <w:r>
        <w:rPr>
          <w:rFonts w:ascii="Calibri" w:hAnsi="Calibri" w:cs="Calibri"/>
        </w:rPr>
        <w:t xml:space="preserve"> "Развитие жилищного строительства в Смоленской области" на 2011 - 2015 годы, утвержденной постановлением Администрации Смоленской области от 04.07.2011 N 372, включая </w:t>
      </w:r>
      <w:hyperlink r:id="rId169" w:history="1">
        <w:r>
          <w:rPr>
            <w:rFonts w:ascii="Calibri" w:hAnsi="Calibri" w:cs="Calibri"/>
            <w:color w:val="0000FF"/>
          </w:rPr>
          <w:t>подпрограмму</w:t>
        </w:r>
      </w:hyperlink>
      <w:r>
        <w:rPr>
          <w:rFonts w:ascii="Calibri" w:hAnsi="Calibri" w:cs="Calibri"/>
        </w:rPr>
        <w:t xml:space="preserve"> "Развитие стройиндустрии и промышленности строительных материалов. Содействие применению энергоэффективности в строительстве".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Наличие "якорных" компаний (ООО "ИДК", ООО "ЭГГЕР ДРЕВПРОДУКТ ГАГАРИН", ОАО "Вяземский ДСК", ООО "Смоленский завод ЖБИ-2", Вяземский завод железобетонных шпал - филиал ОАО "РЖД", ОАО "Гнездово", ОАО "Смоленский ДОК").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Наличие портфеля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"ЭГГЕР ДРЕВПРОДУКТ ГАГАРИН" - проекты "Организация производства облицованной ДСП (КТ 4)" и "Организация производства линии импрегнирования (пропитки) декоративной бумаги";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"Игоревский деревообрабатывающий комбинат" - проект "Реконструкция и расширение ОАО "Игоревский деревообрабатывающий комбинат";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"АКВАВИТА" (Смоленский район) - проект "Строительство крупной мебельной фабрики под торговой маркой "BRICKLAER".</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Активное развитие малых и средних предприятий по производству строительных материалов и деревообработке.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55" w:name="Par7513"/>
      <w:bookmarkEnd w:id="355"/>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участие в федеральных и региональных программах поддержки кластерного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технологическое и организационное взаимодействие между участниками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реализация совместных кооперационных проектов в сфере строительства;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в области повышения квалификации и обучения персонала;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при осуществлении общественных связей и проведении маркетинга;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минимизация затрат на инфраструктуру, услуги естественных монополий, безопасность;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транспортных издержек;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издержек за счет кооперации в области сертификации и контроля качества;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интернационализация, совместный выход на рынки третьих стран с поставкой продукции и закупкой комплектующих, гарантированный "supply chain";</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единой информационной среды, включая НИОКР.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56" w:name="Par7527"/>
      <w:bookmarkEnd w:id="356"/>
      <w:r>
        <w:rPr>
          <w:rFonts w:ascii="Calibri" w:hAnsi="Calibri" w:cs="Calibri"/>
        </w:rPr>
        <w:t>Меры поддержки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поддержки территориальных кластеров приведены в </w:t>
      </w:r>
      <w:hyperlink w:anchor="Par9132" w:history="1">
        <w:r>
          <w:rPr>
            <w:rFonts w:ascii="Calibri" w:hAnsi="Calibri" w:cs="Calibri"/>
            <w:color w:val="0000FF"/>
          </w:rPr>
          <w:t>приложении 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57" w:name="Par7531"/>
      <w:bookmarkEnd w:id="357"/>
      <w:r>
        <w:rPr>
          <w:rFonts w:ascii="Calibri" w:hAnsi="Calibri" w:cs="Calibri"/>
        </w:rPr>
        <w:t>Ожидаемые KPI/Социально-экономические эффекты</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ожидаемым социально-экономическим эффектам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ежегодный рост объемов реализуемой продукции участников кластера на 5 - 15% </w:t>
      </w:r>
      <w:hyperlink w:anchor="Par7536" w:history="1">
        <w:r>
          <w:rPr>
            <w:rFonts w:ascii="Calibri" w:hAnsi="Calibri" w:cs="Calibri"/>
            <w:color w:val="0000FF"/>
          </w:rPr>
          <w:t>&lt;72&gt;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58" w:name="Par7536"/>
      <w:bookmarkEnd w:id="358"/>
      <w:r>
        <w:rPr>
          <w:rFonts w:ascii="Calibri" w:hAnsi="Calibri" w:cs="Calibri"/>
        </w:rPr>
        <w:t>&lt;72&gt; Расчеты авторов.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540" w:history="1">
        <w:r>
          <w:rPr>
            <w:rFonts w:ascii="Calibri" w:hAnsi="Calibri" w:cs="Calibri"/>
            <w:color w:val="0000FF"/>
          </w:rPr>
          <w:t>&lt;73&gt;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59" w:name="Par7540"/>
      <w:bookmarkEnd w:id="359"/>
      <w:r>
        <w:rPr>
          <w:rFonts w:ascii="Calibri" w:hAnsi="Calibri" w:cs="Calibri"/>
        </w:rPr>
        <w:t>&lt;73&gt;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технологического и технического уровня предприятий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профессионального (среднего и высшего) образования по направлению деревообработка.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60" w:name="Par7546"/>
      <w:bookmarkEnd w:id="360"/>
      <w:r>
        <w:rPr>
          <w:rFonts w:ascii="Calibri" w:hAnsi="Calibri" w:cs="Calibri"/>
        </w:rPr>
        <w:t>Предполагаемые управленческая и юридическая схемы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промышленных предприятий - участников кластера, руководители учебных заведений.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Совета является обеспечение стратегического руководства деятельностью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объединение членов Партнерства для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в обществе авторитета, престижа и общественной значимости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постоянная нацеленность на повышение стандартов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реализации и защите законных прав и интересов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пропаганда передового отечественного и мирового опыта, развитие сотрудничества с зарубежными и международными организациями в строительной области и деревообработке.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61" w:name="Par7561"/>
      <w:bookmarkEnd w:id="361"/>
      <w:r>
        <w:rPr>
          <w:rFonts w:ascii="Calibri" w:hAnsi="Calibri" w:cs="Calibri"/>
        </w:rPr>
        <w:t>Риски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рисками развития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административных барьеров при реализации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слабая материально-техническая база малых и средних предприятий;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квалифицированных трудовых ресурсов;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системы обучения и повышения квалификации по направлению "деревообработка";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использования альтернативных материалов (пластик, металл и т.д.).</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62" w:name="Par7571"/>
      <w:bookmarkEnd w:id="362"/>
      <w:r>
        <w:rPr>
          <w:rFonts w:ascii="Calibri" w:hAnsi="Calibri" w:cs="Calibri"/>
        </w:rPr>
        <w:t>Приоритеты и мероприятия по развитию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мероприятия по развитию кластера приведены в </w:t>
      </w:r>
      <w:hyperlink w:anchor="Par8318" w:history="1">
        <w:r>
          <w:rPr>
            <w:rFonts w:ascii="Calibri" w:hAnsi="Calibri" w:cs="Calibri"/>
            <w:color w:val="0000FF"/>
          </w:rPr>
          <w:t>приложении 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363" w:name="Par7575"/>
      <w:bookmarkEnd w:id="363"/>
      <w:r>
        <w:rPr>
          <w:rFonts w:ascii="Calibri" w:hAnsi="Calibri" w:cs="Calibri"/>
        </w:rPr>
        <w:t>Животноводческий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64" w:name="Par7577"/>
      <w:bookmarkEnd w:id="364"/>
      <w:r>
        <w:rPr>
          <w:rFonts w:ascii="Calibri" w:hAnsi="Calibri" w:cs="Calibri"/>
        </w:rPr>
        <w:t>Специализация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деятельности кластера будут являться: животноводство (племенное и товарное животноводство молочного и молочно-мясного направления) и переработка продукции животноводства.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Продукция кластера будет ориентирована на внутренний российской рынок (Московская агломерация и ЦФО в целом) и страны Восточной Европы.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65" w:name="Par7582"/>
      <w:bookmarkEnd w:id="365"/>
      <w:r>
        <w:rPr>
          <w:rFonts w:ascii="Calibri" w:hAnsi="Calibri" w:cs="Calibri"/>
        </w:rPr>
        <w:t xml:space="preserve">Рынки </w:t>
      </w:r>
      <w:hyperlink w:anchor="Par7585" w:history="1">
        <w:r>
          <w:rPr>
            <w:rFonts w:ascii="Calibri" w:hAnsi="Calibri" w:cs="Calibri"/>
            <w:color w:val="0000FF"/>
          </w:rPr>
          <w:t>&lt;74&gt;</w:t>
        </w:r>
      </w:hyperlink>
    </w:p>
    <w:p w:rsidR="00703D06" w:rsidRDefault="00703D06">
      <w:pPr>
        <w:widowControl w:val="0"/>
        <w:autoSpaceDE w:val="0"/>
        <w:autoSpaceDN w:val="0"/>
        <w:adjustRightInd w:val="0"/>
        <w:spacing w:after="0" w:line="240" w:lineRule="auto"/>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66" w:name="Par7585"/>
      <w:bookmarkEnd w:id="366"/>
      <w:r>
        <w:rPr>
          <w:rFonts w:ascii="Calibri" w:hAnsi="Calibri" w:cs="Calibri"/>
        </w:rPr>
        <w:t>&lt;74&gt; Данные раздела "Рынки" представлены в соответствии 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Прогнозом социально-экономического развития Смоленской области на 2014 год и плановый период 2015 и 2016 годов.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Статистическим сборником "Регионы России. Социально-экономические показатели. 2013".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валовом региональном продукте доля сельского хозяйства составляет 7%. На начало 2014 года производством сельскохозяйственной продукции в Смоленской области занимались 275 сельскохозяйственных организаций, около 200 действующих крестьянских (фермерских) хозяйств и индивидуальных предпринимателей, 114 тыс. хозяйств населения.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производство основных видов продукции животноводства составило: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мяса скота и птицы в живом весе - 58,8 тыс. тонн;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молока - 298 тыс. тонн;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яиц - 313,1 млн. штук.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Среди основных регионов-конкурентов Смоленская область занимает лидирующие позиции по вывозу произведенных на территории области масла животного и консервов из мяса животных и птиц (4349 тонн и 13564 тысячи условных банок соответственно).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прогнозном периоде увеличение объемов производства продукции животноводства планируется обеспечить за счет реализации блока региональных целевых программ в результате повышения продуктивности коров в сельскохозяйственных организациях и крестьянских (фермерских) хозяйствах; повышения уровня механизации и автоматизации производственных процессов; реконструкции и модернизации животноводческих объектов; улучшения генетического потенциала отрасли, увеличения выхода телят на 100 коров и повышения сохранности молодняка.</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67" w:name="Par7598"/>
      <w:bookmarkEnd w:id="367"/>
      <w:r>
        <w:rPr>
          <w:rFonts w:ascii="Calibri" w:hAnsi="Calibri" w:cs="Calibri"/>
        </w:rPr>
        <w:t>Прогноз производства основной продукции животноводства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хозяйствах всех категорий</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49" type="#_x0000_t75" style="width:436.5pt;height:188.25pt">
            <v:imagedata r:id="rId170" o:title=""/>
          </v:shape>
        </w:pic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Благоприятному развитию кластера будет способствовать выгодное географическое положение региона по отношению к Московской агломерации. Так как потребность в продукции животноводства на территории Московской агломерации постоянно увеличивается </w:t>
      </w:r>
      <w:hyperlink w:anchor="Par7611" w:history="1">
        <w:r>
          <w:rPr>
            <w:rFonts w:ascii="Calibri" w:hAnsi="Calibri" w:cs="Calibri"/>
            <w:color w:val="0000FF"/>
          </w:rPr>
          <w:t>(таблица 41)</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таблиц дана в соответствии с официальным текстом документа.</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368" w:name="Par7609"/>
      <w:bookmarkEnd w:id="368"/>
      <w:r>
        <w:rPr>
          <w:rFonts w:ascii="Calibri" w:hAnsi="Calibri" w:cs="Calibri"/>
        </w:rPr>
        <w:t>Таблица 41</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369" w:name="Par7611"/>
      <w:bookmarkEnd w:id="369"/>
      <w:r>
        <w:rPr>
          <w:rFonts w:ascii="Calibri" w:hAnsi="Calibri" w:cs="Calibri"/>
        </w:rPr>
        <w:t>Динамика ввоза продукции животноводства на территорию</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Московской агломерации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510"/>
        <w:gridCol w:w="4479"/>
        <w:gridCol w:w="1850"/>
        <w:gridCol w:w="925"/>
        <w:gridCol w:w="925"/>
        <w:gridCol w:w="925"/>
      </w:tblGrid>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продукции</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Ед. изм.</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2012</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Мясо и мясо птицы, кроме субпродуктов</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596167</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516490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546649</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Консервы мясные (мясосодержащие)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тыс. усл. банок</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230762</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208990</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166954</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Колбасные изделия</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220049</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223906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243667</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Сыры и продукты сырные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84526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90508</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105239</w:t>
            </w:r>
          </w:p>
        </w:tc>
      </w:tr>
      <w:tr w:rsidR="00703D06">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44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Масло сливочное</w:t>
            </w:r>
          </w:p>
        </w:tc>
        <w:tc>
          <w:tcPr>
            <w:tcW w:w="1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30516</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31634</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31018</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70" w:name="Par7651"/>
      <w:bookmarkEnd w:id="370"/>
      <w:r>
        <w:rPr>
          <w:rFonts w:ascii="Calibri" w:hAnsi="Calibri" w:cs="Calibri"/>
        </w:rPr>
        <w:t>Географическая концентрация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рисунке представлена территориальная концентрация основных предприятий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50" type="#_x0000_t75" style="width:436.5pt;height:445.5pt">
            <v:imagedata r:id="rId171" o:title=""/>
          </v:shape>
        </w:pict>
      </w:r>
    </w:p>
    <w:p w:rsidR="00703D06" w:rsidRDefault="00703D06">
      <w:pPr>
        <w:widowControl w:val="0"/>
        <w:autoSpaceDE w:val="0"/>
        <w:autoSpaceDN w:val="0"/>
        <w:adjustRightInd w:val="0"/>
        <w:spacing w:after="0" w:line="240" w:lineRule="auto"/>
        <w:jc w:val="center"/>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51" type="#_x0000_t75" style="width:21.75pt;height:18.75pt">
            <v:imagedata r:id="rId172" o:title=""/>
          </v:shape>
        </w:pict>
      </w:r>
      <w:r w:rsidR="00703D06">
        <w:rPr>
          <w:rFonts w:ascii="Calibri" w:hAnsi="Calibri" w:cs="Calibri"/>
        </w:rPr>
        <w:t xml:space="preserve"> - племенные заводы и репродукторы;</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52" type="#_x0000_t75" style="width:21.75pt;height:21.75pt">
            <v:imagedata r:id="rId173" o:title=""/>
          </v:shape>
        </w:pict>
      </w:r>
      <w:r w:rsidR="00703D06">
        <w:rPr>
          <w:rFonts w:ascii="Calibri" w:hAnsi="Calibri" w:cs="Calibri"/>
        </w:rPr>
        <w:t xml:space="preserve"> - предприятия, выпускающие молоко и молочную продукцию;</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53" type="#_x0000_t75" style="width:21.75pt;height:21.75pt">
            <v:imagedata r:id="rId174" o:title=""/>
          </v:shape>
        </w:pict>
      </w:r>
      <w:r w:rsidR="00703D06">
        <w:rPr>
          <w:rFonts w:ascii="Calibri" w:hAnsi="Calibri" w:cs="Calibri"/>
        </w:rPr>
        <w:t xml:space="preserve"> - предприятия, выпускающие колбасные изделия;</w:t>
      </w: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54" type="#_x0000_t75" style="width:21.75pt;height:21.75pt">
            <v:imagedata r:id="rId175" o:title=""/>
          </v:shape>
        </w:pict>
      </w:r>
      <w:r w:rsidR="00703D06">
        <w:rPr>
          <w:rFonts w:ascii="Calibri" w:hAnsi="Calibri" w:cs="Calibri"/>
        </w:rPr>
        <w:t xml:space="preserve"> - научные и образовательные учреждения.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71" w:name="Par7662"/>
      <w:bookmarkEnd w:id="371"/>
      <w:r>
        <w:rPr>
          <w:rFonts w:ascii="Calibri" w:hAnsi="Calibri" w:cs="Calibri"/>
        </w:rPr>
        <w:t>Продукция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виды продукции, выпускаемой участниками кластера: племенной молодняк, мясо и субпродукты, консервы из мяса животных и птицы, колбасные изделия, сыры, масло животное, молоко, молочные продукты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72" w:name="Par7666"/>
      <w:bookmarkEnd w:id="372"/>
      <w:r>
        <w:rPr>
          <w:rFonts w:ascii="Calibri" w:hAnsi="Calibri" w:cs="Calibri"/>
        </w:rPr>
        <w:t>Ключевые участники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Ключевыми участниками кластера, предполагается, станут: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племенные заводы и репродукторы по разведению крупного рогатого скота, свиноводству, овцеводству, козоводству и птицеводству (ОАО "Смоленское" по племенной работе, "КП "Рыбковское", ПСК "Новомихайловский", СХПК колхоз-племзавод "Радищево"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организации по переработке продукции животноводства (ЗАО "Гагаринконсервмолоко", ООО "Промконсервы", ЗАО "Траст Национальная Холдинговая Компания", Агропромышленный холдинг "Seven Hills", ОАО "Сафоновомясопродукт"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обслуживающие организации (ремонт техники, логистические услуги, сбыт продукции, ветеринарные услуги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научно-исследовательские и образовательные учреждения различного уровня (ГНУ "Смоленский научно-исследовательский институт сельского хозяйства" Российской академии сельскохозяйственных наук, ГНУ "Смоленская государственная областная ордена Трудового Красного Знамени сельскохозяйственная опытная станция им. А.Н. Энгельгардта", ФГБОУ ВПО "Смоленская государственная сельскохозяйственная академия", сельскохозяйственные колледжи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73" w:name="Par7674"/>
      <w:bookmarkEnd w:id="373"/>
      <w:r>
        <w:rPr>
          <w:rFonts w:ascii="Calibri" w:hAnsi="Calibri" w:cs="Calibri"/>
        </w:rPr>
        <w:t>Тип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Животноводческий кластер относится к процессному типу.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74" w:name="Par7678"/>
      <w:bookmarkEnd w:id="374"/>
      <w:r>
        <w:rPr>
          <w:rFonts w:ascii="Calibri" w:hAnsi="Calibri" w:cs="Calibri"/>
        </w:rPr>
        <w:t>Предпосылки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предпосылками создания животноводческого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Наличие областной государственной </w:t>
      </w:r>
      <w:hyperlink r:id="rId176" w:history="1">
        <w:r>
          <w:rPr>
            <w:rFonts w:ascii="Calibri" w:hAnsi="Calibri" w:cs="Calibri"/>
            <w:color w:val="0000FF"/>
          </w:rPr>
          <w:t>программы</w:t>
        </w:r>
      </w:hyperlink>
      <w:r>
        <w:rPr>
          <w:rFonts w:ascii="Calibri" w:hAnsi="Calibri" w:cs="Calibri"/>
        </w:rPr>
        <w:t xml:space="preserve"> "Развитие сельского хозяйства и регулирование рынков сельскохозяйственной продукции, сырья и продовольствия в Смоленской области" на 2014 - 2020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Доминирующее положение Смоленской области по вывозу животного масла и консервов из мяса животных и птиц.</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Начавшееся объединение предприятий отрасли в холдинги, включающие товарные хозяйства, племенные заводы и репродукторы, перерабатывающие и обслуживающие предприятия (например, ЗАО "Траст Национальная Холдинговая Компания", Агропромышленный холдинг "Seven Hills").</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Наличие портфеля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"Гагарин-Останкино" - "Строительство мясоперерабатывающего завода";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Группа компаний "АГРО ГЖАТЬ ИНВЕСТ" - "Строительство молочно-товарного комплекса на 1200 коров для производства товарного молока с последующей глубокой переработкой и производство продукции растениеводства";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"ЮрАл" - "Строительство и ввод в эксплуатацию мясокомбината "Сафоновский";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ЗАО "Золотая нива" - "Создание животноводческого комплекса на 4150 голов крупного рогатого скота";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"ВирмонтФуд" - "Открытие птицеводческого комплекса по выращиванию мясных бройлеров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Активное развитие малых и средних предприятий по переработке продукции животноводства и оказанию услуг производственным предприятиям (ремонт техники, ветеринария, сбыт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Развитая система обучения и повышения квалификации работников сельского хозяйства.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75" w:name="Par7694"/>
      <w:bookmarkEnd w:id="375"/>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Участие в федеральных и региональных программах поддержки кластерного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Технологическое и организационное взаимодействие между участниками кластера (стабильная технологическая цепочка: производство - переработка - сбыт).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единой научной базы по животноводству (селекция, кормопроизводство, переработка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Взаимодействие в области повышения квалификации и обучения персонала.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Взаимодействие при осуществлении общественных связей и проведению маркетинга.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Минимизация затрат на ветеринарию, инфраструктуру, услуги естественных монополий, безопасность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Снижение транспортных издержек.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Снижение издержек за счет кооперации в области сертификации и контроля качества.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Интернационализация, совместный выход на рынки третьих стран.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Создание единой информационной среды.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76" w:name="Par7708"/>
      <w:bookmarkEnd w:id="376"/>
      <w:r>
        <w:rPr>
          <w:rFonts w:ascii="Calibri" w:hAnsi="Calibri" w:cs="Calibri"/>
        </w:rPr>
        <w:t>Меры поддержки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поддержки территориальных кластеров приведены в </w:t>
      </w:r>
      <w:hyperlink w:anchor="Par9132" w:history="1">
        <w:r>
          <w:rPr>
            <w:rFonts w:ascii="Calibri" w:hAnsi="Calibri" w:cs="Calibri"/>
            <w:color w:val="0000FF"/>
          </w:rPr>
          <w:t>приложении 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77" w:name="Par7712"/>
      <w:bookmarkEnd w:id="377"/>
      <w:r>
        <w:rPr>
          <w:rFonts w:ascii="Calibri" w:hAnsi="Calibri" w:cs="Calibri"/>
        </w:rPr>
        <w:t>Ожидаемые KPI/социально-экономические эффекты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ожидаемым социально-экономическим эффектам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Ежегодный рост объемов реализуемой продукции участников кластера на 4 - 15% </w:t>
      </w:r>
      <w:hyperlink w:anchor="Par7717" w:history="1">
        <w:r>
          <w:rPr>
            <w:rFonts w:ascii="Calibri" w:hAnsi="Calibri" w:cs="Calibri"/>
            <w:color w:val="0000FF"/>
          </w:rPr>
          <w:t>&lt;75&gt;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78" w:name="Par7717"/>
      <w:bookmarkEnd w:id="378"/>
      <w:r>
        <w:rPr>
          <w:rFonts w:ascii="Calibri" w:hAnsi="Calibri" w:cs="Calibri"/>
        </w:rPr>
        <w:t>&lt;75&gt; Расчеты авторов.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721" w:history="1">
        <w:r>
          <w:rPr>
            <w:rFonts w:ascii="Calibri" w:hAnsi="Calibri" w:cs="Calibri"/>
            <w:color w:val="0000FF"/>
          </w:rPr>
          <w:t>&lt;76&gt;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79" w:name="Par7721"/>
      <w:bookmarkEnd w:id="379"/>
      <w:r>
        <w:rPr>
          <w:rFonts w:ascii="Calibri" w:hAnsi="Calibri" w:cs="Calibri"/>
        </w:rPr>
        <w:t>&lt;76&gt;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Повышение технологического и технического уровня предприятий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Развитие профессионального (среднего и высшего) образования по направлению животноводство.</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80" w:name="Par7727"/>
      <w:bookmarkEnd w:id="380"/>
      <w:r>
        <w:rPr>
          <w:rFonts w:ascii="Calibri" w:hAnsi="Calibri" w:cs="Calibri"/>
        </w:rPr>
        <w:t>Предполагаемые управленческая и юридическая схемы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заведений.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Совета является обеспечение стратегического руководства деятельностью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объединение членов Партнерства для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выпускаемой предприятиями кластера продукции, а также иных видов деятельности, осуществляемых членами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в обществе авторитета, престижа и общественной значимости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постоянная нацеленность на повышение стандартов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реализации и защите законных прав и интересов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пропаганда передового отечественного и мирового опыта, развитие сотрудничества с зарубежными и международными организациями в области животноводства.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81" w:name="Par7742"/>
      <w:bookmarkEnd w:id="381"/>
      <w:r>
        <w:rPr>
          <w:rFonts w:ascii="Calibri" w:hAnsi="Calibri" w:cs="Calibri"/>
        </w:rPr>
        <w:t>Риски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рисками развития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развития инфраструктуры рынка сбыта мясо-молочных продуктов;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сезонность валового производства молока;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слабая материально-техническая база мясо-молочных перерабатывающих предприятий малой мощности;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административных барьеров при реализации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квалифицированных трудовых ресурсов;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цен на животные корма;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риск заболевания животных, падежа скота.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82" w:name="Par7754"/>
      <w:bookmarkEnd w:id="382"/>
      <w:r>
        <w:rPr>
          <w:rFonts w:ascii="Calibri" w:hAnsi="Calibri" w:cs="Calibri"/>
        </w:rPr>
        <w:t>Приоритеты и мероприятия по развитию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мероприятия по развитию кластера приведены в </w:t>
      </w:r>
      <w:hyperlink w:anchor="Par8318" w:history="1">
        <w:r>
          <w:rPr>
            <w:rFonts w:ascii="Calibri" w:hAnsi="Calibri" w:cs="Calibri"/>
            <w:color w:val="0000FF"/>
          </w:rPr>
          <w:t>приложении 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383" w:name="Par7758"/>
      <w:bookmarkEnd w:id="383"/>
      <w:r>
        <w:rPr>
          <w:rFonts w:ascii="Calibri" w:hAnsi="Calibri" w:cs="Calibri"/>
        </w:rPr>
        <w:t>Транспортно-логистический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84" w:name="Par7760"/>
      <w:bookmarkEnd w:id="384"/>
      <w:r>
        <w:rPr>
          <w:rFonts w:ascii="Calibri" w:hAnsi="Calibri" w:cs="Calibri"/>
        </w:rPr>
        <w:t>Специализация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Транспортно-логистический кластер включает в себя комплекс инфраструктуры и компаний, специализирующихся на хранении, сопровождении и доставке грузов и пассажиров.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85" w:name="Par7764"/>
      <w:bookmarkEnd w:id="385"/>
      <w:r>
        <w:rPr>
          <w:rFonts w:ascii="Calibri" w:hAnsi="Calibri" w:cs="Calibri"/>
        </w:rPr>
        <w:t xml:space="preserve">Рынки </w:t>
      </w:r>
      <w:hyperlink w:anchor="Par7767" w:history="1">
        <w:r>
          <w:rPr>
            <w:rFonts w:ascii="Calibri" w:hAnsi="Calibri" w:cs="Calibri"/>
            <w:color w:val="0000FF"/>
          </w:rPr>
          <w:t>&lt;77&gt;</w:t>
        </w:r>
      </w:hyperlink>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86" w:name="Par7767"/>
      <w:bookmarkEnd w:id="386"/>
      <w:r>
        <w:rPr>
          <w:rFonts w:ascii="Calibri" w:hAnsi="Calibri" w:cs="Calibri"/>
        </w:rPr>
        <w:t>&lt;77&gt; Данные раздела "Рынки" представлены в соответствии с http://www.vch.ru/cgi-bin/guide.cgi?table_code=42&amp;action=show&amp;id=11691.</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конкурентным преимуществом Смоленской области по отношению к другим регионами ЦФО является высокий транзитный потенциал региона, обусловленный выгодным географическим положением относительно Московской агломерации и стран Восточной Европы.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территории Смоленской области проходят следующие автомобильные дороги: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М1 "Беларусь" (протяженность в пределах области - 298 километров, через Вязьму, Сафоново, Ярцево и Смоленск);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Р120 Орел - Витебск (221 км, через Рославль, Смоленск и Рудню);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А101 Москва - Варшава ("Старая Польская" или "Варшавка"), протяженностью 115 км, через Десногорск и Рославль);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Р133 Смоленск - Невель;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Р136 Смоленск - Нелидово;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Р132 Вязьма - Калуга - Тула - Рязань;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Р134 "Старая Смоленская дорога" Смоленск - Дорогобуж - Вязьма - Зубцов;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Р137 Сафоново - Рославль.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Территория Смоленской области обслуживается Московской железной дорогой. Основная железнодорожная двухпутная электрифицированная магистраль Москва - Минск - Брест имеет особое как пассажирское, так и грузовое значение и проходит через областные города: Гагарин, Вязьму, Сафоново, Ярцево и Смоленск. Кроме нее действуют однопутные тепловозные линии: историческая Рига - Орел (через Рудню, Голынки, Смоленск, Починок и Рославль), Смоленск - Сухиничи, Вязьма - Ржев, Вязьма - Брянск, Вязьма - Калуга и Рославль - Сухиничи. Кроме того, действуют внутренние ветки Дурово - Владимирский Тупик (есть пассажирское сообщение), Смоленск - Сошно (ППЖТ Смоленской ГРЭС пос. Озерный), на Дорогобуж и Верхнеднепровский (только грузовое сообщение).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Членство России в Таможенном союзе и вступление в ВТО кратно повышают значение транспортно-логистической сферы экономики для дальнейшего развития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сегодняшний день через смоленский участок границы с Беларусью осуществляется ввоз примерно 35 процентов товаров, перевозимых в целом по стране по процедуре МДП ("Международная дорога перевозок", или Transports internationaux routiers - общеизвестное TIR). Сегодня более 80 процентов грузов, поступающих в Россию из Западной Европы, проходит через Смоленскую область. По прогнозам, к 2020 году поток товаров достигнет порядка 60 млн. тонн в год.</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87" w:name="Par7783"/>
      <w:bookmarkEnd w:id="387"/>
      <w:r>
        <w:rPr>
          <w:rFonts w:ascii="Calibri" w:hAnsi="Calibri" w:cs="Calibri"/>
        </w:rPr>
        <w:t>Услуги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Предполагаемые виды услуг, оказываемые предприятиями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Таможенные услуги: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декларирование товаров, перемещаемых через таможенную границу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консультационных услуг по любым вопросам таможенного оформления;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определение кодов ТН ВЭД по номенклатуре груза;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получение предварительных классификационных решений в ФТС России на сложные грузы;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получение фитосанитарных, ветеринарных и карантинных сертификатов на товары, подлежащие государственному санитарно-эпидемиологическому, карантинному и фитосанитарному контролю;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услуг по получению справок из Российской Торгово-промышленной палаты при соответствующих запросах таможенных органов;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услуг в быстром таможенном оформлении скоропортящихся товаров;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услуг по оформлению подакцизных товаров;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услуг по таможенному оформлению автомобилей физических лиц;</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услуг по таможенному оформлению товаров с применением технологии "удаленного выпуска".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Грузоперевозки: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железнодорожные грузоперевозки;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доставка комплектных грузов автомобилями и рефрижераторами (CMR страхование);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доставка дорогостоящих грузов (коммерческое страхование);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информационная поддержка по передвижению грузов;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консультации по вопросам таможенного оформления и международных грузоперевозок.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Складские услуги: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ответственное хранение;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погрузо-разгрузочные работы;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cross-docking.</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88" w:name="Par7809"/>
      <w:bookmarkEnd w:id="388"/>
      <w:r>
        <w:rPr>
          <w:rFonts w:ascii="Calibri" w:hAnsi="Calibri" w:cs="Calibri"/>
        </w:rPr>
        <w:t>Географическая концентрация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рисунке ниже представлена территориальная концентрация основных предприятий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55" type="#_x0000_t75" style="width:436.5pt;height:354pt">
            <v:imagedata r:id="rId177" o:title=""/>
          </v:shape>
        </w:pic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89" w:name="Par7815"/>
      <w:bookmarkEnd w:id="389"/>
      <w:r>
        <w:rPr>
          <w:rFonts w:ascii="Calibri" w:hAnsi="Calibri" w:cs="Calibri"/>
        </w:rPr>
        <w:t>Ключевые участники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Предполагается, что ключевыми участниками кластера станут: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"Альфа Транс";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"Альфа Транс Терминал";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"Ренус Терминал";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"ЕВРОТРАНССЕРВИС";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"Катынский терминал";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Смоленское отделение Московской железной дороги, филиал ОАО "РЖД";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"ЖелДорЭкспедиция";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другие транспортно-логистические, экспедиционные компании, организации, оказывающие услуги по техническому обслуживанию автомобилей и придорожному сервису.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Наряду с транспортно-логистическими, экспедиционными и другими компаниями в структуру кластера войдут образовательные учреждения: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ФГБОУ ВПО "Смоленский государственный университет".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Смоленский филиал ФГБОУ ВПО "Московский государственный университет путей сообщения".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Смоленский филиал ФГБОУ ВПО "Московский автомобильно-дорожный государственный технический университет (МАДИ)".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Смоленский филиал Автономной Некоммерческой Организации Высшего Профессионального Образования Центросоюза Российской Федерации "Российский Университет Кооперации".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ОГБОУ СПО "Смоленский техникум железнодорожного транспорта, связи и сервиса".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ОГБОУ СПО "Смоленский автотранспортный колледж имени Е.Г. Трубицына"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90" w:name="Par7834"/>
      <w:bookmarkEnd w:id="390"/>
      <w:r>
        <w:rPr>
          <w:rFonts w:ascii="Calibri" w:hAnsi="Calibri" w:cs="Calibri"/>
        </w:rPr>
        <w:t>Тип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Транспортно-логистический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91" w:name="Par7838"/>
      <w:bookmarkEnd w:id="391"/>
      <w:r>
        <w:rPr>
          <w:rFonts w:ascii="Calibri" w:hAnsi="Calibri" w:cs="Calibri"/>
        </w:rPr>
        <w:t>Предпосылки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предпосылками создания транспортно-логистического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Выгодное приграничное положение Смоленской области относительно Московской агломерации и стран Восточной Европы (расстояние до Москвы - около 395 км; до Минска - около 335 км). Прохождение основных транспортных магистралей (автомобильных и железнодорожных), связывающих Москву и Европу, по территории области (существенный транзитный потенциал).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Рост конкуренции на рынках в ЦФО и странах Восточной Европы в связи с членством России в Таможенном союзе (высокий экспортный потенциал Белоруссии) и вступлением России в ВТО (снижение таможенных пошлин на импорт).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Наличие целевых программ, направленных на развитие транспортного комплекса в регионе (Областная государственная </w:t>
      </w:r>
      <w:hyperlink r:id="rId178" w:history="1">
        <w:r>
          <w:rPr>
            <w:rFonts w:ascii="Calibri" w:hAnsi="Calibri" w:cs="Calibri"/>
            <w:color w:val="0000FF"/>
          </w:rPr>
          <w:t>программа</w:t>
        </w:r>
      </w:hyperlink>
      <w:r>
        <w:rPr>
          <w:rFonts w:ascii="Calibri" w:hAnsi="Calibri" w:cs="Calibri"/>
        </w:rPr>
        <w:t xml:space="preserve"> "Развитие дорожно-транспортного комплекса Смоленской области" на 2014 - 2020 годы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Наличие транспортно-логистической инфраструктуры (автомобильные дороги: М1 "Беларусь", Р120 "Орел - Брянск - Смоленск - граница с Белоруссией" и другие; железнодорожная двухпутная электрифицированная магистраль Москва - Минск - Брест; ТЛТ "Смоленский", ТЛТ "Стабнинский", ТЛТ "Руднянский", ТЛТ "Красной", ТЛТ "Краснинский"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Наличие "якорных" компаний: ООО "Альфа Транс"; ООО "Ренус Терминал" (Группа компании Rhenus), ООО "ЕВРОТРАНССЕРВИС"; ООО "Катынский терминал"; Смоленское отделение Московской железной дороги, филиал ОАО "РЖД"; ООО "ЖелДорЭкспедиция"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Наличие портфеля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"Альфа Транс Инвест" - "Строительство транспортно-логистического производственного комплекса "Стабна";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ЗАО "Тандер" - "Строительство распределительного центра".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Развитая система обучения и повышения квалификации.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92" w:name="Par7851"/>
      <w:bookmarkEnd w:id="392"/>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участие в федеральных и региональных программах поддержки кластерного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технологическое и организационное взаимодействие между участниками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в области повышения квалификации и обучения персонала;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при осуществлении общественных связей и проведению маркетинга;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минимизация затрат на инфраструктуру, услуги естественных монополий, безопасность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транспортных издержек;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снижение издержек за счет кооперации в области сертификации и контроля качества;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интернационализация, совместный выход на рынки третьих стран;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создание единой информационной среды.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93" w:name="Par7864"/>
      <w:bookmarkEnd w:id="393"/>
      <w:r>
        <w:rPr>
          <w:rFonts w:ascii="Calibri" w:hAnsi="Calibri" w:cs="Calibri"/>
        </w:rPr>
        <w:t>Меры поддержки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поддержки территориальных кластеров приведены в </w:t>
      </w:r>
      <w:hyperlink w:anchor="Par9132" w:history="1">
        <w:r>
          <w:rPr>
            <w:rFonts w:ascii="Calibri" w:hAnsi="Calibri" w:cs="Calibri"/>
            <w:color w:val="0000FF"/>
          </w:rPr>
          <w:t>приложении 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94" w:name="Par7868"/>
      <w:bookmarkEnd w:id="394"/>
      <w:r>
        <w:rPr>
          <w:rFonts w:ascii="Calibri" w:hAnsi="Calibri" w:cs="Calibri"/>
        </w:rPr>
        <w:t>Ожидаемые KPI/социально-экономические эффекты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ожидаемым социально-экономическим эффектам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Ежегодный рост грузоперевозок на 5 - 15% </w:t>
      </w:r>
      <w:hyperlink w:anchor="Par7873" w:history="1">
        <w:r>
          <w:rPr>
            <w:rFonts w:ascii="Calibri" w:hAnsi="Calibri" w:cs="Calibri"/>
            <w:color w:val="0000FF"/>
          </w:rPr>
          <w:t>&lt;78&gt;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95" w:name="Par7873"/>
      <w:bookmarkEnd w:id="395"/>
      <w:r>
        <w:rPr>
          <w:rFonts w:ascii="Calibri" w:hAnsi="Calibri" w:cs="Calibri"/>
        </w:rPr>
        <w:t>&lt;78&gt; Расчеты авторов.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Увеличение протяженности автомобильных дорог общего пользования, соответствующих нормативным требованиям к транспортно-эксплуатационным показателям (в 2014 г. - 2579,22 км; в 2015 г. - 2667,52 км; в 2016 г. - 2749,09 км) </w:t>
      </w:r>
      <w:hyperlink w:anchor="Par7877" w:history="1">
        <w:r>
          <w:rPr>
            <w:rFonts w:ascii="Calibri" w:hAnsi="Calibri" w:cs="Calibri"/>
            <w:color w:val="0000FF"/>
          </w:rPr>
          <w:t>&lt;79&gt;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96" w:name="Par7877"/>
      <w:bookmarkEnd w:id="396"/>
      <w:r>
        <w:rPr>
          <w:rFonts w:ascii="Calibri" w:hAnsi="Calibri" w:cs="Calibri"/>
        </w:rPr>
        <w:t xml:space="preserve">&lt;79&gt; Областная государственная </w:t>
      </w:r>
      <w:hyperlink r:id="rId179" w:history="1">
        <w:r>
          <w:rPr>
            <w:rFonts w:ascii="Calibri" w:hAnsi="Calibri" w:cs="Calibri"/>
            <w:color w:val="0000FF"/>
          </w:rPr>
          <w:t>программа</w:t>
        </w:r>
      </w:hyperlink>
      <w:r>
        <w:rPr>
          <w:rFonts w:ascii="Calibri" w:hAnsi="Calibri" w:cs="Calibri"/>
        </w:rPr>
        <w:t xml:space="preserve"> "Развитие дорожно-транспортного комплекса Смоленской области" на 2014 - 2020 годы.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Содействие росту инвестиций в экономику области: на 2014 год прогнозируется, что объем инвестиций в основной капитал составит 51,6 млрд. рублей, к 2017 году - 53,0 млрд. рублей </w:t>
      </w:r>
      <w:hyperlink w:anchor="Par7881" w:history="1">
        <w:r>
          <w:rPr>
            <w:rFonts w:ascii="Calibri" w:hAnsi="Calibri" w:cs="Calibri"/>
            <w:color w:val="0000FF"/>
          </w:rPr>
          <w:t>&lt;80&gt;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397" w:name="Par7881"/>
      <w:bookmarkEnd w:id="397"/>
      <w:r>
        <w:rPr>
          <w:rFonts w:ascii="Calibri" w:hAnsi="Calibri" w:cs="Calibri"/>
        </w:rPr>
        <w:t>&lt;80&gt; Пояснительная записка к показателям прогноза социально-экономического развития Смоленской области на 2015 год и на плановый период 2016 и 2017 годов http://econsmolensk.ru/prognoz_ser/.</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Качественное и количественное развитие транспортно-логистической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Повышение технологического и технического уровня организаций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Развитие профессионального (среднего и высшего) образования.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98" w:name="Par7888"/>
      <w:bookmarkEnd w:id="398"/>
      <w:r>
        <w:rPr>
          <w:rFonts w:ascii="Calibri" w:hAnsi="Calibri" w:cs="Calibri"/>
        </w:rPr>
        <w:t>Предполагаемые управленческая и юридическая схемы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заведений.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Совета является обеспечение стратегического руководства деятельностью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объединение членов Партнерства для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предоставляемых предприятиями кластера услуг, а также иных видов деятельности, осуществляемых членами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в обществе авторитета, престижа и общественной значимости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качественная профессиональная подготовка работников членов Партнерства и индивидуальных предпринимателей (физических лиц) -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постоянная нацеленность на повышение стандартов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реализации и защите законных прав и интересов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пропаганда передового отечественного и мирового опыта, развитие сотрудничества с зарубежными и международными организациями.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399" w:name="Par7903"/>
      <w:bookmarkEnd w:id="399"/>
      <w:r>
        <w:rPr>
          <w:rFonts w:ascii="Calibri" w:hAnsi="Calibri" w:cs="Calibri"/>
        </w:rPr>
        <w:t>Риски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рисками развития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недостаточный уровень развития транспортной и логистической инфраструктуры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низкая плотность автомобильных дорог, соответствующих нормативным требованиям к транспортно-эксплуатационным показателям;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транспортно-эксплуатационных качеств автомобильных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отсутствие международного аэропорта;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административных барьеров при реализации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квалифицированных трудовых ресурсов.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00" w:name="Par7913"/>
      <w:bookmarkEnd w:id="400"/>
      <w:r>
        <w:rPr>
          <w:rFonts w:ascii="Calibri" w:hAnsi="Calibri" w:cs="Calibri"/>
        </w:rPr>
        <w:t>Приоритеты и мероприятия по развитию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мероприятия по развитию кластера приведены в </w:t>
      </w:r>
      <w:hyperlink w:anchor="Par8318" w:history="1">
        <w:r>
          <w:rPr>
            <w:rFonts w:ascii="Calibri" w:hAnsi="Calibri" w:cs="Calibri"/>
            <w:color w:val="0000FF"/>
          </w:rPr>
          <w:t>приложении 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401" w:name="Par7917"/>
      <w:bookmarkEnd w:id="401"/>
      <w:r>
        <w:rPr>
          <w:rFonts w:ascii="Calibri" w:hAnsi="Calibri" w:cs="Calibri"/>
        </w:rPr>
        <w:t>Туристический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числу основных факторов, сдерживающих развитие туризма в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низкая конкурентоспособность смоленского туристского продукта по цене и качеству;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современных гостиниц;</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комфортабельного транспорта;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неудовлетворительное состояние дорог;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недостаточный объем инвестиций в развитие индустрии;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многие интересные объекты культурного и природного значения до сих пор не используются.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комплексного решения проблем отрасли создание кластера станет одной из важных составляющих.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Одной из причин объединения усилий между Вяземским, Гагаринским, Дорогобужским, Угранским, Новодугинским и Темкинским районами стало проведение анализа туристского потенциала восточного региона и определение путей совместного развития в сфере туризма. В результате проведенного анализа выявлено: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каждый из районов обладает своей особой туристской привлекательностью и имеет на своей территории уникальные объекты показа;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каждом районе есть предприятия малого бизнеса, оказывающие услуги питания, размещения, организации отдыха, но не во всех есть предприятия, организующие туристские услуги;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определены понятия, которые могут стать элементами брендинга территорий;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разработаны праздничные мероприятия, определяющие событийную привлекательность данных районов.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02" w:name="Par7933"/>
      <w:bookmarkEnd w:id="402"/>
      <w:r>
        <w:rPr>
          <w:rFonts w:ascii="Calibri" w:hAnsi="Calibri" w:cs="Calibri"/>
        </w:rPr>
        <w:t>Цель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создания Восточного туристского кластера Смоленской области является повышение налоговых отчислений в бюджеты всех уровней за счет увеличения турпотока на основе формирования экономически эффективной и технологически устойчивой комплексной системы современного обслуживания туристов.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03" w:name="Par7937"/>
      <w:bookmarkEnd w:id="403"/>
      <w:r>
        <w:rPr>
          <w:rFonts w:ascii="Calibri" w:hAnsi="Calibri" w:cs="Calibri"/>
        </w:rPr>
        <w:t>Задачи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заявленной цели необходимо соединить усилия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интеграции в процесс формирования турпродуктов на всероссийском и региональном уровне, включение участников кластера в глобальные цепочки добавленной стоимости;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рекламировании и продвижении собственных туристских ресурсов на Всероссийском туристском рынке;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разработке туристских маршрутов, создании и реализации туристских проектов с применением инновационных технологий и привлечением инвестиций;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вовлечении местного населения в создание рабочих мест, в формировании системы туристских услуг с участием малого бизнеса;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 процессе формирования локальных туристских кластеров в каждом районе.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04" w:name="Par7946"/>
      <w:bookmarkEnd w:id="404"/>
      <w:r>
        <w:rPr>
          <w:rFonts w:ascii="Calibri" w:hAnsi="Calibri" w:cs="Calibri"/>
        </w:rPr>
        <w:t>Специализация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виды конечной продукции кластера - туристические услуги.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Наиболее перспективными представляются следующие виды туризма: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событийный туризм (в том числе реконструкции битв и других исторических событий), который основывается на событиях и датах других типов туризма, и молодежный (бюджетный) туризм;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исторический туризм (город Вязьма - столица государства царя Алексея Михайловича Тишайшего, войны с Польшей, Отечественная война 1812 года и Великая Отечественная война, полет Гагарина);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посещение мест жизни великих людей (Гагарина, Потемкина, Твардовского, Есенина, Грибоедова, Нахимова, Коненкова, Глинки, Пржевальского, Никулина, Исаковского);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религиозный туризм и паломничество (проект создания православного Центра всероссийского паломничества, включающий три муниципальных образования, который получил благословение Святейшего патриарха Кирилла, церкви домонгольского периода);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туризм катастроф (гибель польской делегации, Катынь);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экологический туризм;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активный туризм (горнолыжный или, например, круиз по Днепру на стругах или плотах со стоянками на территории трех братских стран от истока до устья Днепра).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Основные потребители продукции кластера - российские и зарубежные туристы. С точки зрения зарубежных туристов особое внимание следует уделить представителям стран, с которыми было больше войн и конфликтов - Польши, Франции, Германии. Например, в 2010 году был дан старт нескольким проектам и созданы мероприятия, которые смогли стать традиционными, привлекая тысячи россиян и гостей ближнего и дальнего зарубежья </w:t>
      </w:r>
      <w:hyperlink w:anchor="Par7959" w:history="1">
        <w:r>
          <w:rPr>
            <w:rFonts w:ascii="Calibri" w:hAnsi="Calibri" w:cs="Calibri"/>
            <w:color w:val="0000FF"/>
          </w:rPr>
          <w:t>&lt;81&gt;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05" w:name="Par7959"/>
      <w:bookmarkEnd w:id="405"/>
      <w:r>
        <w:rPr>
          <w:rFonts w:ascii="Calibri" w:hAnsi="Calibri" w:cs="Calibri"/>
        </w:rPr>
        <w:t>&lt;81&gt; http://econ.kardymovo.ru/files/358/obschaya-prezentaciya-s-p.pdf.</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Ежегодная реконструкция сражения при Лубино. Бывшая деревня Лубино - место крупного сражения русской армии с войсками Наполеона. Потери составили порядка 6 тысяч русских и около 9 тысяч французов. Отечественные историки называют исход сражения при Лубино тактической победой русских войск. На месте сражения при массовом стечении гостей из многих городов России, ближнего и дальнего зарубежья в ближайшие к 7 августа дни проходит ежегодная реконструкция Смоленского сражения 1812 года. В 2012 году в год 200-летия победы России в войне 1812 года 4 августа фестиваль военно-исторической реконструкции битвы при Лубино собрал более 25 тысяч зрителей и более двух тысяч участников - из России, Белоруссии, Польши, Украины, стран Балтии. Проект "Лубино" не остался незамеченным и был отмечен почетным дипломом Министерства культуры Московской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Ежегодный Международный туристский фестиваль "Соловьева переправа". Проходит ежегодно с 2010 года в ближайшие к 27 июля дни. Соловьева переправа является историческим местом, сыгравшим важную роль в становлении Российского государства - располагается на исторически важном пересечении сухопутного пути "Старой Смоленской дороги" и великой славянской реки Днепр. В Великую Отечественную войну 1941 года Соловьева переправа вошла в историю, как место кровавых сражений. Это было единственным местом, через которое велось материально-техническое обеспечение войск Западного фронта. Ежегодно фестиваль объединяет более 3000 участников из разных районов Смоленской области, Республики Беларусь, Латвии, Литвы, Украины, многих областей России. В 2013 году трехдневный фестиваль прошел в рамках сразу двух знаменательных дат: 70-летия освобождения Смоленщины от немецко-фашистских захватчиков и 1150-летия города Смоленска".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автополигона "CAR_dымово". Полигон размещается вблизи д. Топорово и является местом отдыха любителей автоспорта, мотоспорта, авиашоу, а также других видов спортивных зрелищ. С 2010 года проводятся соревнования по дрэг-рейсингу и автокроссу, фестивали байкеров, показательные выступления пилотажной группы "Русь" и многие другие. На полигоне проводятся Этап чемпионата и первенства России по автомобильному кроссу, ежегодные соревнования "Славянский кубок". В соревнованиях принимают участие спортсмены не только из Смоленской области, но и из Белоруссии, Московского региона, Воронежской области и многих других городов России. В 2014 году организаторами Славянского кубка достигнута договоренность о совместном сотрудничестве с клубом автолюбителей "4 x 4 zelenograd", г. Зеленоград. Запланировано развитие автополигона CAR_dымово, строительство трассы для проведения соревнований по ралли-кроссу. Так, дисциплина ралли-кросса очень востребована в России, в Центральном федеральном округе их практически нет.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Основная идея - разнообразный отдых с показом достопримечательностей, которую разрабатывают профильные департаменты, представляется весьма плодотворной.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06" w:name="Par7966"/>
      <w:bookmarkEnd w:id="406"/>
      <w:r>
        <w:rPr>
          <w:rFonts w:ascii="Calibri" w:hAnsi="Calibri" w:cs="Calibri"/>
        </w:rPr>
        <w:t>Географическая концентрация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карте ниже отмечено число достопримечательностей и музеев по районам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56" type="#_x0000_t75" style="width:388.5pt;height:336.75pt">
            <v:imagedata r:id="rId180" o:title=""/>
          </v:shape>
        </w:pic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07" w:name="Par7972"/>
      <w:bookmarkEnd w:id="407"/>
      <w:r>
        <w:rPr>
          <w:rFonts w:ascii="Calibri" w:hAnsi="Calibri" w:cs="Calibri"/>
        </w:rPr>
        <w:t>Структура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Опираясь на анализ деятельности существующих туристских кластеров во Всероссийском туристском пространстве, можно сказать, что в восточном регионе Смоленской области исторически сложилась оптимальная структура туристского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ядро - генератор туристских инноваций, распределитель туристских потоков (Вяземский район);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базовый, опорный уровень - зона, где сосредоточена концентрация основных туристских объектов и маршрутов (Гагаринский, Дорогобужский, Угранский, Новодугинский, Темкинский районы);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ареал перспектив туристского бизнеса - зона, выходящая за пределы административных границ региона, распространяющаяся на области перекрытий с соседними подобными системами (Калужская, Тверская, Московская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08" w:name="Par7979"/>
      <w:bookmarkEnd w:id="408"/>
      <w:r>
        <w:rPr>
          <w:rFonts w:ascii="Calibri" w:hAnsi="Calibri" w:cs="Calibri"/>
        </w:rPr>
        <w:t>Ключевые участники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Восточного туристского кластера Смоленской области входят: Вяземский, Гагаринский, Дорогобужский, Угранский, Новодугинский и Темкинский районы.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музеи, достопримечательности в городе Смоленске: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Смоленский государственный музей-заповедник (Смоленск, ул. Коммунистическая, 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Смоленская крепостная стена.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Музей "Смоленские украсы" (Смоленск, пл. Смирнова, Маховая башня Смоленской крепостной стены).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"Музей "Русская старина" (Смоленск, ул. Тенишевой, 7).</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Художественная галерея (Смоленск, ул. Коммунистическая, 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Смоленский исторический музей (Смоленск, ул. Ленина, 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Музей "Смоленск - щит России" в Громовой башне (Смоленск, ул. Ленина, д. 8а).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Музей скульптуры С. Коненкова (Смоленск, ул. Маяковского, 7).</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Музей "Смоленский Лен" (ул. Маршала Жукова, Никольская башня).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Музей "Смоленщина в годы Великой Отечественной войны" (Смоленск, ул. Дзержинского, 4а).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Музей "Русской Водки" (Смоленск, ул. Студенческая, д. 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Музей "В мире сказки" (Смоленск, ул. Ленина, д. 15).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"Молодежный центр-музей им. адмирала Нахимова" (Смоленск, ул. Большая Советская, 29/1).</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Музей-квартира "А.Т. Твардовский в Смоленске 1943 - 1945 гг." (Смоленск, Запольный пер., д. 4, кв. 26).</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Музей "Городская кузница XVII века" (Смоленск, ул. Ленина д. 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Музей природы и экологии (Смоленск, ул. Ленина д. 10а).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в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Историко-художественный заповедник Талашкино.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Мемориальный музей-усадьба М.И. Глинки (Новоспасское).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Велижский районный историко-краеведческий музей (Велиж, пл. Дзержинского, д. 3/14).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Вяземский историко-краеведческий музей (Вязьма, пл. Советская, д. 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Дом-музей Юрия Никулина (Демидов).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Вяземский музей Сергея Александровича Есенина (Вязьма, пл. Ефремова, д. 3, кв. 22, частный музей).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Объединенный мемориальный музей Ю.А. Гагарина (Гагарин, ул. Герцена, д. 7).</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Государственный историко-культурный и природный музей-заповедник А.С. Грибоедова (Хмелита).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Глинковский районный краеведческий музей (Глинка, ул. Красная, д. 6).</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Демидовский историко-краеведческий музей (Демидов, ул. Коммунистическая, д. 12).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Мемориальный музей Н.М. Пржевальского и музей партизанской славы (Демидовский район, п. Пржевальское).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Историко-краеведческий музей г. Десногорска (Десногорск, 1-ый микрорайон).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Дорогобужский районный историко-краеведческий музей (Дорогобуж, ул. Пушкина, д. 9).</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Духовщинский районный историко-художественный музей (Духовщина, ул. Бугаева, д. 47/52).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Ельнинский историко-краеведческий музей (Ельня, ул. Интернациональная, д. 66).</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Кардымовский районный историко-краеведческий музей (Кардымово, ул. Красноармейская, д. 10).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Краснинский краеведческий музей им. супругов Ерашовых (Красный, ул. Интернациональная, д. 7).</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Новодугинский историко-краеведческий музей им. В.В. Докучаева (Новодугино, ул. Горького, д. 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Починковский историко-краеведческий музей (Починок, ул. Советская, д. 14).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Мемориальный музей А.Т. Твардовского на хуторе "Загорье" (Починковский район, д. Сельцо).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Рославльский историко-художественный музей (Рославль, ул. Пролетарская, д. 63).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Руднянский исторический музей (Рудня, ул. Киреева, д. 48а).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Мемориальный музей М.А. Егорова (Рудня).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Сафоновский историко-краеведческий музей (Сафоново, ул. Советская, д. 30).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Мемориальный комплекс "Катынь" (Смоленский район, Катынское сельское поселение, восточнее д. Козьи горы).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Историко-архитектурный комплекс "Теремок" (Смоленский р-он, п. Фленово).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Сычевский краеведческий музей (Сычевка, ул. Б. Пролетарская, д. 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Темкинский районный историко-краеведческий музей (Темкино, ул. Ефремова, д. 1).</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Угранский исторический музей (Угра, ул. Улитчева, д. 30).</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Мемориальный музей М.В. Исаковского (Угранский район, п. Всходы).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Хиславичский краеведческий музей (Хиславичи, ул. Советская, д. 32).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Холм-Жирковский районный краеведческий музей (Холм-Жирковский, пер. Садовый, д. 1а).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Музей-мемориал боевой славы 166-й стрелковой дивизии и Вадинского партизанского края (Холм-Жирковский район, с. Верховье).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Шумячский художественно-краеведческий музей (Шумячи, ул. Советская, д. 96).</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Ярцевский историко-краеведческий музей (Ярцево, ул. Ленинская, д. 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Образовательные и научные институты: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ФГБОУ ВПО "Смоленский государственный университет";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ФГОУ ВПО "Смоленская государственная сельскохозяйственная академия";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Филиал ФГБОУ ВПО "Московский государственный открытый университет" в г. Сафоново;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Смоленский филиал ФГБОУ ВПО "Московский государственный университет путей сообщения";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Смоленский филиал ФГБОУ ВПО "Московский автомобильно-дорожный государственный технический университет (МАДИ)";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Смоленский филиал АНО ВПО Центросоюза РФ "Российский Университет Кооперации".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отдыха: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"ФГБУ "Национальный парк "Смоленское Поозерье" - национальный парк в Духовщинском и Демидовском районах;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охотничье-спортивный комплекс "Кречет" в 150 км от Смоленска и 395 км от Москвы;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загородный клуб "Борвиха" в 40 км от Смоленска;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клуб-отель "Высокое";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рыболовно-туристическая база "Логи" в 40 км от Смоленска;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спортивно-оздоровительный комплекс "Смена" в Красном бору;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санаторий имени Н.М. Пржевальского в 120 км от Смоленска на берегу озера Сапшо;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санаторий-профилакторий "Кристалл" в 20 км от Смоленска, в 5 км от трассы Москва - Минск.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могут войти в число участников отели и гостиницы, санатории и базы отдыха, финансовые посредники, общественные организации и т.д.</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09" w:name="Par8053"/>
      <w:bookmarkEnd w:id="409"/>
      <w:r>
        <w:rPr>
          <w:rFonts w:ascii="Calibri" w:hAnsi="Calibri" w:cs="Calibri"/>
        </w:rPr>
        <w:t>Тип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Тип кластера - "творческий", туристический.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10" w:name="Par8057"/>
      <w:bookmarkEnd w:id="410"/>
      <w:r>
        <w:rPr>
          <w:rFonts w:ascii="Calibri" w:hAnsi="Calibri" w:cs="Calibri"/>
        </w:rPr>
        <w:t>Предпосылки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предпосылками создания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транспортных путей, исторически и инфраструктурно объединяющих все вышеназванные районы;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объектов показа, которые могут соединяться друг с другом тематическими туристскими маршрутами;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событий, которые могут стать элементами формирования брендинга территорий для формирования продвижения и рекламирования туристского потенциала восточного региона;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музеев и предприятий, оказывающих услуги питания, организации отдыха туристов;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административных структур и предприятий, способных входить в цепочки создания добавленной стоимости;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исторически сложившегося ядра, транспортной развязки - распределителя туристских потоков, центра восточного региона Смоленской области - Вязьмы, в котором есть предприятия и организации по разработке и продаже туристских услуг, организации подготовки и переподготовки туристских кадров, разработке туристских маршрутов;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перспектива создания инвестиционных и инфраструктурных проектов, способных дать толчок к развитию туризма в восточном регионе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прежде всего, исторических предпосылок создания Кластера, а также уникальных природных ресурсов на территории Смоленской области позволяет сделать вывод о перспективности данного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внимание руководителей региона - один из ключевых факторов успеха развития кластера - существенно повышает перспективу успешного развития туризма в Смоленской области. Так, в 2012 году утверждена долгосрочная областная целевая </w:t>
      </w:r>
      <w:hyperlink r:id="rId181" w:history="1">
        <w:r>
          <w:rPr>
            <w:rFonts w:ascii="Calibri" w:hAnsi="Calibri" w:cs="Calibri"/>
            <w:color w:val="0000FF"/>
          </w:rPr>
          <w:t>программа</w:t>
        </w:r>
      </w:hyperlink>
      <w:r>
        <w:rPr>
          <w:rFonts w:ascii="Calibri" w:hAnsi="Calibri" w:cs="Calibri"/>
        </w:rPr>
        <w:t xml:space="preserve"> "Развитие внутреннего и въездного туризма в Смоленской области" на 2013 - 2015 годы. За 2013 год осуществлено финансирование из средств областного бюджета - 7080,854 тыс. рублей, из средств местных бюджетов - 285 тыс. рублей, внебюджетных источников - 900000 тыс. рублей. В 2013 году утверждена </w:t>
      </w:r>
      <w:hyperlink r:id="rId182" w:history="1">
        <w:r>
          <w:rPr>
            <w:rFonts w:ascii="Calibri" w:hAnsi="Calibri" w:cs="Calibri"/>
            <w:color w:val="0000FF"/>
          </w:rPr>
          <w:t>подпрограмма</w:t>
        </w:r>
      </w:hyperlink>
      <w:r>
        <w:rPr>
          <w:rFonts w:ascii="Calibri" w:hAnsi="Calibri" w:cs="Calibri"/>
        </w:rPr>
        <w:t xml:space="preserve"> "Развитие внутреннего и въездного туризма в Смоленской области" на 2014 - 2020 годы в рамках областной государственной </w:t>
      </w:r>
      <w:hyperlink r:id="rId183" w:history="1">
        <w:r>
          <w:rPr>
            <w:rFonts w:ascii="Calibri" w:hAnsi="Calibri" w:cs="Calibri"/>
            <w:color w:val="0000FF"/>
          </w:rPr>
          <w:t>программы</w:t>
        </w:r>
      </w:hyperlink>
      <w:r>
        <w:rPr>
          <w:rFonts w:ascii="Calibri" w:hAnsi="Calibri" w:cs="Calibri"/>
        </w:rPr>
        <w:t xml:space="preserve"> "Развитие культуры и туризма в Смоленской области" на 2014 - 2020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Как отмечают специалисты областного департамента по культуре и туризму, в предыдущие годы в туристской отрасли региона наметилась положительная динамика: в 2012 году Смоленщину посетили 188,46 тысячи туристов, в течение 2013 года этот показатель увеличился до показателя более 210 тысяч человек. При этом 88 процентов туристов находятся в регионе 1 - 3 дня, 10 процентов - 4 - 7 дней.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концу срока действия программы, к 2015 году, объем туристского потока предполагается увеличить до 351 тысячи, объем платных туристских услуг населению - с 66,2 миллионов рублей до 102 миллионов, объем платных услуг гостиниц - с 423,8 миллионов рублей до 677 миллионов.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Перспективы роста рынка туристических услуг и в России, и в мире выглядят обнадеживающе. В частности (по данным Росстата), рынок туристических услуг России вырос за 2 года на 31% (с 1030,4 до 1350,3 млрд.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нескольких якорных компаний Кластера (указанных выше), а также наличие базовой инфраструктуры позволяет рассчитывать на рост выручки компаний, участников кластера даже без серьезных инвестиций в объекты инфраструктуры. А при наличии таких инвестиций рост будет еще выше. На данном этапе необходимо уделить особое внимание составлению портфеля проработанных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согласованной региональной и местной администрациями и участниками Кластера концепции развития Кластера, соглашения и качество этих документов будут определять динамику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11" w:name="Par8075"/>
      <w:bookmarkEnd w:id="411"/>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Достижение современного уровня сервиса во всех звеньях туристского обслуживания.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Возможность создания новых структур, работающих в интересах всех участников (центров туристического информирования, например), создание которых для одного игрока было бы дорогостоящим.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Наличие специализированной, обладающей высокой квалификацией рабочей силы.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Лучшее понимание текущих и выявление новых потребностей потребителей услуг.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Развитие взаимодополняемости между услугами и расширение продуктовой линейки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"зонтичного бренда" территории участниками может повысить эффективность совместного маркетинга (выставки, журналы, рекламные компании). При этом повышается репутация региона в отрасли.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Стимулирование привлечения российских и зарубежных инвестиций в развитие инфраструктуры различных видов туризма и отдыха.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Обеспечение экономического развития и социальной стабильности посредством развития туризма.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Увеличение туристского потока.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кластере можно построить матрицу активностей в течение года </w:t>
      </w:r>
      <w:hyperlink w:anchor="Par8090" w:history="1">
        <w:r>
          <w:rPr>
            <w:rFonts w:ascii="Calibri" w:hAnsi="Calibri" w:cs="Calibri"/>
            <w:color w:val="0000FF"/>
          </w:rPr>
          <w:t>(таблица 43)</w:t>
        </w:r>
      </w:hyperlink>
      <w:r>
        <w:rPr>
          <w:rFonts w:ascii="Calibri" w:hAnsi="Calibri" w:cs="Calibri"/>
        </w:rPr>
        <w:t xml:space="preserve"> для более равномерной загрузки всех мощностей туристической отрасли.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412" w:name="Par8088"/>
      <w:bookmarkEnd w:id="412"/>
      <w:r>
        <w:rPr>
          <w:rFonts w:ascii="Calibri" w:hAnsi="Calibri" w:cs="Calibri"/>
        </w:rPr>
        <w:t>Таблица 43</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413" w:name="Par8090"/>
      <w:bookmarkEnd w:id="413"/>
      <w:r>
        <w:rPr>
          <w:rFonts w:ascii="Calibri" w:hAnsi="Calibri" w:cs="Calibri"/>
        </w:rPr>
        <w:t>Матрица годовой активности туристической отрасли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32513F">
      <w:pPr>
        <w:widowControl w:val="0"/>
        <w:autoSpaceDE w:val="0"/>
        <w:autoSpaceDN w:val="0"/>
        <w:adjustRightInd w:val="0"/>
        <w:spacing w:after="0" w:line="240" w:lineRule="auto"/>
        <w:jc w:val="center"/>
        <w:rPr>
          <w:rFonts w:ascii="Calibri" w:hAnsi="Calibri" w:cs="Calibri"/>
        </w:rPr>
      </w:pPr>
      <w:r w:rsidRPr="00427D1E">
        <w:rPr>
          <w:rFonts w:ascii="Calibri" w:hAnsi="Calibri" w:cs="Calibri"/>
        </w:rPr>
        <w:pict>
          <v:shape id="_x0000_i1057" type="#_x0000_t75" style="width:436.5pt;height:480.75pt">
            <v:imagedata r:id="rId184" o:title=""/>
          </v:shape>
        </w:pic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58" type="#_x0000_t75" style="width:18.75pt;height:27.75pt">
            <v:imagedata r:id="rId185" o:title=""/>
          </v:shape>
        </w:pict>
      </w:r>
      <w:r w:rsidR="00703D06">
        <w:rPr>
          <w:rFonts w:ascii="Calibri" w:hAnsi="Calibri" w:cs="Calibri"/>
        </w:rPr>
        <w:t xml:space="preserve"> - месяц, благоприятный для данного типа туризма;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59" type="#_x0000_t75" style="width:18.75pt;height:27.75pt">
            <v:imagedata r:id="rId186" o:title=""/>
          </v:shape>
        </w:pict>
      </w:r>
      <w:r w:rsidR="00703D06">
        <w:rPr>
          <w:rFonts w:ascii="Calibri" w:hAnsi="Calibri" w:cs="Calibri"/>
        </w:rPr>
        <w:t xml:space="preserve"> - месяц средне-благоприятный;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32513F">
      <w:pPr>
        <w:widowControl w:val="0"/>
        <w:autoSpaceDE w:val="0"/>
        <w:autoSpaceDN w:val="0"/>
        <w:adjustRightInd w:val="0"/>
        <w:spacing w:after="0" w:line="240" w:lineRule="auto"/>
        <w:ind w:firstLine="540"/>
        <w:jc w:val="both"/>
        <w:rPr>
          <w:rFonts w:ascii="Calibri" w:hAnsi="Calibri" w:cs="Calibri"/>
        </w:rPr>
      </w:pPr>
      <w:r w:rsidRPr="00427D1E">
        <w:rPr>
          <w:rFonts w:ascii="Calibri" w:hAnsi="Calibri" w:cs="Calibri"/>
        </w:rPr>
        <w:pict>
          <v:shape id="_x0000_i1060" type="#_x0000_t75" style="width:18.75pt;height:27.75pt">
            <v:imagedata r:id="rId187" o:title=""/>
          </v:shape>
        </w:pict>
      </w:r>
      <w:r w:rsidR="00703D06">
        <w:rPr>
          <w:rFonts w:ascii="Calibri" w:hAnsi="Calibri" w:cs="Calibri"/>
        </w:rPr>
        <w:t xml:space="preserve"> - месяц неблагоприятный.</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14" w:name="Par8101"/>
      <w:bookmarkEnd w:id="414"/>
      <w:r>
        <w:rPr>
          <w:rFonts w:ascii="Calibri" w:hAnsi="Calibri" w:cs="Calibri"/>
        </w:rPr>
        <w:t>Меры поддержки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поддержки территориальных кластеров приведены в </w:t>
      </w:r>
      <w:hyperlink w:anchor="Par9132" w:history="1">
        <w:r>
          <w:rPr>
            <w:rFonts w:ascii="Calibri" w:hAnsi="Calibri" w:cs="Calibri"/>
            <w:color w:val="0000FF"/>
          </w:rPr>
          <w:t>приложении 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15" w:name="Par8105"/>
      <w:bookmarkEnd w:id="415"/>
      <w:r>
        <w:rPr>
          <w:rFonts w:ascii="Calibri" w:hAnsi="Calibri" w:cs="Calibri"/>
        </w:rPr>
        <w:t>Ожидаемые KPI/социально-экономические эффекты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период с 2014 по 2025 гг. можно ожидать: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российских и иностранных прямых частных инвестиций в туристическую отрасль (суммы требуют уточнения);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рост количества малых и средних предприятий, включенных в цепочки добавленной стоимости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16" w:name="Par8111"/>
      <w:bookmarkEnd w:id="416"/>
      <w:r>
        <w:rPr>
          <w:rFonts w:ascii="Calibri" w:hAnsi="Calibri" w:cs="Calibri"/>
        </w:rPr>
        <w:t>Управленческая и юридическая схемы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Предлагается создание некоммерческого партнерства для координации деятельности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17" w:name="Par8115"/>
      <w:bookmarkEnd w:id="417"/>
      <w:r>
        <w:rPr>
          <w:rFonts w:ascii="Calibri" w:hAnsi="Calibri" w:cs="Calibri"/>
        </w:rPr>
        <w:t>Риски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основным рискам проекта можно отнести: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высокий уровень физического и морального износа зданий и сооружений;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конкуренцию со стороны компаний других регионов России и мира;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дефицит квалифицированных кадров.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18" w:name="Par8122"/>
      <w:bookmarkEnd w:id="418"/>
      <w:r>
        <w:rPr>
          <w:rFonts w:ascii="Calibri" w:hAnsi="Calibri" w:cs="Calibri"/>
        </w:rPr>
        <w:t>Оценка перспектив формирования и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условии соблюдения предложенных условий формирование и успешное развитие кластера высоковероятны.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19" w:name="Par8126"/>
      <w:bookmarkEnd w:id="419"/>
      <w:r>
        <w:rPr>
          <w:rFonts w:ascii="Calibri" w:hAnsi="Calibri" w:cs="Calibri"/>
        </w:rPr>
        <w:t>Приоритеты и мероприятия по развитию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мероприятия по развитию кластера приведены в </w:t>
      </w:r>
      <w:hyperlink w:anchor="Par8318" w:history="1">
        <w:r>
          <w:rPr>
            <w:rFonts w:ascii="Calibri" w:hAnsi="Calibri" w:cs="Calibri"/>
            <w:color w:val="0000FF"/>
          </w:rPr>
          <w:t>приложении 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2"/>
        <w:rPr>
          <w:rFonts w:ascii="Calibri" w:hAnsi="Calibri" w:cs="Calibri"/>
        </w:rPr>
      </w:pPr>
      <w:bookmarkStart w:id="420" w:name="Par8130"/>
      <w:bookmarkEnd w:id="420"/>
      <w:r>
        <w:rPr>
          <w:rFonts w:ascii="Calibri" w:hAnsi="Calibri" w:cs="Calibri"/>
        </w:rPr>
        <w:t>Медицинский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21" w:name="Par8132"/>
      <w:bookmarkEnd w:id="421"/>
      <w:r>
        <w:rPr>
          <w:rFonts w:ascii="Calibri" w:hAnsi="Calibri" w:cs="Calibri"/>
        </w:rPr>
        <w:t>Специализация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Медицинский кластер представляет собой интегрированный комплекс клинических, научно-медицинских, медико-образовательных учреждений и предприятий, выпускающих медицинское оборудование и иную продукцию. Кластер создает благоприятную интеллектуальную среду, которая дает дополнительные мотивации для продвижения в практическое здравоохранение современных конкурентоспособных видов специализированной и высокотехнологичной медицинской помощи, а также медицинских инноваций.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22" w:name="Par8136"/>
      <w:bookmarkEnd w:id="422"/>
      <w:r>
        <w:rPr>
          <w:rFonts w:ascii="Calibri" w:hAnsi="Calibri" w:cs="Calibri"/>
        </w:rPr>
        <w:t xml:space="preserve">Рынки </w:t>
      </w:r>
      <w:hyperlink w:anchor="Par8139" w:history="1">
        <w:r>
          <w:rPr>
            <w:rFonts w:ascii="Calibri" w:hAnsi="Calibri" w:cs="Calibri"/>
            <w:color w:val="0000FF"/>
          </w:rPr>
          <w:t>&lt;82&gt;</w:t>
        </w:r>
      </w:hyperlink>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23" w:name="Par8139"/>
      <w:bookmarkEnd w:id="423"/>
      <w:r>
        <w:rPr>
          <w:rFonts w:ascii="Calibri" w:hAnsi="Calibri" w:cs="Calibri"/>
        </w:rPr>
        <w:t>&lt;82&gt; Данные раздела "Рынки" представлены в соответствии с:</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Прогнозом социально-экономического развития Смоленской области на 2014 год и плановый период 2015 и 2016 годов.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Статистическим сборником "Регионы России. Социально-экономические показатели. 2013".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Население Смоленской области получает медицинскую помощь в учреждениях здравоохранения различных типов. Это 38 больничных учреждений - юридических лиц, в структуре которых функционирует 10 участковых больниц, 36 врачебных амбулаторий и 505 фельдшерско-акушерских пунктов, оказывающих медицинскую помощь сельскому населению, 10 специализированных диспансеров, 8 самостоятельных поликлиник, 9 стоматологических поликлиник, 2 детских санатория и 2 дома ребенка.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валовом региональном продукте доля здравоохранения и социальных услуг составляет 4,2%. На современном этапе развития сфера здравоохранения рассматривается как один из приоритетов развития экономики региона. Если рассматривать структуру инвестиций по видам деятельности, то Смоленская область находится на 2 месте среди регионов-конкурентов по величине инвестиций в основной капитал в сферу здравоохранения и предоставления социальных услуг </w:t>
      </w:r>
      <w:hyperlink w:anchor="Par8149" w:history="1">
        <w:r>
          <w:rPr>
            <w:rFonts w:ascii="Calibri" w:hAnsi="Calibri" w:cs="Calibri"/>
            <w:color w:val="0000FF"/>
          </w:rPr>
          <w:t>(таблица 44)</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4"/>
        <w:rPr>
          <w:rFonts w:ascii="Calibri" w:hAnsi="Calibri" w:cs="Calibri"/>
        </w:rPr>
      </w:pPr>
      <w:bookmarkStart w:id="424" w:name="Par8147"/>
      <w:bookmarkEnd w:id="424"/>
      <w:r>
        <w:rPr>
          <w:rFonts w:ascii="Calibri" w:hAnsi="Calibri" w:cs="Calibri"/>
        </w:rPr>
        <w:t>Таблица 44</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425" w:name="Par8149"/>
      <w:bookmarkEnd w:id="425"/>
      <w:r>
        <w:rPr>
          <w:rFonts w:ascii="Calibri" w:hAnsi="Calibri" w:cs="Calibri"/>
        </w:rPr>
        <w:t>Величина инвестиций в основной капитал среди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регионов конкурентов</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309"/>
        <w:gridCol w:w="1780"/>
        <w:gridCol w:w="1780"/>
        <w:gridCol w:w="1780"/>
      </w:tblGrid>
      <w:tr w:rsidR="00703D06">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субъекта РФ</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2009 г.</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2010 г.</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2011 г.</w:t>
            </w:r>
          </w:p>
        </w:tc>
      </w:tr>
      <w:tr w:rsidR="00703D06">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Брянская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966,4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807,4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1774,9</w:t>
            </w:r>
          </w:p>
        </w:tc>
      </w:tr>
      <w:tr w:rsidR="00703D06">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Калужская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914,2</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638,4</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938,9</w:t>
            </w:r>
          </w:p>
        </w:tc>
      </w:tr>
      <w:tr w:rsidR="00703D06">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Московская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2998,8</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2744,1</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4600,8</w:t>
            </w:r>
          </w:p>
        </w:tc>
      </w:tr>
      <w:tr w:rsidR="00703D06">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918,7</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508,9</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3573,9</w:t>
            </w:r>
          </w:p>
        </w:tc>
      </w:tr>
      <w:tr w:rsidR="00703D06">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Тверская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1975,9</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1205,0</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478,7</w:t>
            </w:r>
          </w:p>
        </w:tc>
      </w:tr>
      <w:tr w:rsidR="00703D06">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Ярославская область</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1387,7</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3079,3</w:t>
            </w:r>
          </w:p>
        </w:tc>
        <w:tc>
          <w:tcPr>
            <w:tcW w:w="1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1881,2</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системы здравоохранения в Смоленской области в среднесрочном периоде будет направлено на повышение ее доступности и качества, что создаст предпосылки для увеличения продолжительности жизни и улучшения основных показателей здоровья населения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период с 2013 по 2016 год прогнозируется рост количества врачей с 5,41 до 5,47 тыс. человек. Средний медицинский персонал увеличится с 10,83 до 11,14 тыс. человек.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Показатель обеспеченности амбулаторно-поликлиническими учреждениями будет стабильно расти за счет дальнейшего развития стационарозамещающих технологий, негосударственного сектора здравоохранения, обеспеченности высококвалифицированными медицинскими кадрами, современной медицинской техникой и т.д. К 2016 году данный показатель составит 292,77 посещения в смену на 10 тыс. населения.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развития менее затратных амбулаторно-поликлинического и стационарозамещающего видов медицинской помощи прогнозируется сокращение обеспеченности больничными койками в прогнозном периоде со 107,5 коек на 10 тыс. населения в 2013 году до 103,2 коек на 10 тыс. населения к 2016 году.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26" w:name="Par8186"/>
      <w:bookmarkEnd w:id="426"/>
      <w:r>
        <w:rPr>
          <w:rFonts w:ascii="Calibri" w:hAnsi="Calibri" w:cs="Calibri"/>
        </w:rPr>
        <w:t>Географическая концентрация</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Предполагаемые участники кластера располагаются преимущественно в г. Смоленске.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27" w:name="Par8190"/>
      <w:bookmarkEnd w:id="427"/>
      <w:r>
        <w:rPr>
          <w:rFonts w:ascii="Calibri" w:hAnsi="Calibri" w:cs="Calibri"/>
        </w:rPr>
        <w:t>Продукция и услуги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основным видам продукции и услуг участников кластера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услуги в сфере здравоохранения;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научные исследования;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образовательные услуги;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медицинское оборудование (термостаты, сушильные шкафы, стерилизаторы, камеры бактерицидные, электропечи, климатические камеры);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протезы (верхних и нижних конечностей, молочной железы);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ортопедическая обувь;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корсеты (при радикулите, сколиозе, травмах позвоночника и др.);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бандажи (послеоперационные, почечные, грыжевые);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наколенники (при деформациях и заболеваниях коленных суставов);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аппараты и туторы на нижние и верхние конечности;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28" w:name="Par8205"/>
      <w:bookmarkEnd w:id="428"/>
      <w:r>
        <w:rPr>
          <w:rFonts w:ascii="Calibri" w:hAnsi="Calibri" w:cs="Calibri"/>
        </w:rPr>
        <w:t>Ключевые участники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Ключевыми участниками кластера могут стать: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Научно-исследовательские и образовательные учреждения: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ГБОУ ВПО "Смоленская государственная медицинская академия" Министерства здравоохранения и социального развития Российской Федерации;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НИИ Антимикробной химиотерапии;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Научно-исследовательский центр Смоленской государственной медицинской академии;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ПНИЛ СГМА "Ультразвуковые исследования и малоинвазивные технологии";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ОГБОУ СПО "Смоленский базовый медицинский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ОБГОУ СПО "Вяземский медицинский колледж";</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ОГБОУ СПО "Рославльский медицинский техникум".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Учреждения здравоохранения: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Смоленская областная клиническая больница;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Смоленский телекоммуникационный центр;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Федеральное государственное бюджетное учреждение "Федеральный центр травматологии, ортопедии и эндопротезирования" Министерства здравоохранения Российской Федерации (г. Смоленск);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Медицинский центр ООО "УРОМЕД";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"Международный Медицинский Центр "ЭЛИТ" (Губернский Центр Охраны Зрения);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Федеральное казенное учреждение здравоохранения "Медико-санитарная часть Министерства внутренних дел Российской Федерации по Смоленской области"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Предприятия по производству медицинского оборудования: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ФГУП "Смоленское протезно-ортопедическое предприятие";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Смоленское СКТБ СПУ.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Смоленский областной медицинский информационно-аналитический центр и другие.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29" w:name="Par8228"/>
      <w:bookmarkEnd w:id="429"/>
      <w:r>
        <w:rPr>
          <w:rFonts w:ascii="Calibri" w:hAnsi="Calibri" w:cs="Calibri"/>
        </w:rPr>
        <w:t>Тип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Медицинский кластер относится к смешанному типу.</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30" w:name="Par8232"/>
      <w:bookmarkEnd w:id="430"/>
      <w:r>
        <w:rPr>
          <w:rFonts w:ascii="Calibri" w:hAnsi="Calibri" w:cs="Calibri"/>
        </w:rPr>
        <w:t>Предпосылки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предпосылками создания медицинского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наличие целевой программы, направленной на развитие здравоохранения в регионе (областная государственная </w:t>
      </w:r>
      <w:hyperlink r:id="rId188" w:history="1">
        <w:r>
          <w:rPr>
            <w:rFonts w:ascii="Calibri" w:hAnsi="Calibri" w:cs="Calibri"/>
            <w:color w:val="0000FF"/>
          </w:rPr>
          <w:t>программа</w:t>
        </w:r>
      </w:hyperlink>
      <w:r>
        <w:rPr>
          <w:rFonts w:ascii="Calibri" w:hAnsi="Calibri" w:cs="Calibri"/>
        </w:rPr>
        <w:t xml:space="preserve"> "Развитие здравоохранения в Смоленской области" на 2014 - 2016 годы);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развитая система обучения и повышения квалификации медицинских работников (ГБОУ ВПО "Смоленская государственная медицинская академия" входит в 15 ведущих медицинских вузов России);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развитая научно-исследовательская деятельность в регионе (наличие научно-исследовательских центов);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крупных медицинских центров (ФГБУ "Федеральный центр травматологии, ортопедии и эндопротезирования", "Диализный центр"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доминирующее положение Смоленской области по объему инвестиций в основной капитал в сферу здравоохранения и предоставления социальных услуг;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ООО "Фрезениус Медикл Кеа Холдинг" - "Строительство в г. Смоленске современного диализного центра";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"Строительство перинатального центра в г. Смоленске";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наличие предприятий по производству медицинского оборудования.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31" w:name="Par8245"/>
      <w:bookmarkEnd w:id="431"/>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Потенциальные выгоды от участия в кластере: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Участие в федеральных и региональных программах поддержки кластерного развития.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Научное, технологическое и организационное взаимодействие между участниками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Развитие единой научной базы.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Взаимодействие в области повышения квалификации и обучения персонала.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Взаимодействие при осуществлении общественных связей и проведении маркетинга.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Снижение издержек за счет кооперации в области сертификации и контроля качества.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Интернационализация, совместный выход на рынки третьих стран.</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Создание единой информационной среды.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32" w:name="Par8257"/>
      <w:bookmarkEnd w:id="432"/>
      <w:r>
        <w:rPr>
          <w:rFonts w:ascii="Calibri" w:hAnsi="Calibri" w:cs="Calibri"/>
        </w:rPr>
        <w:t>Меры поддержки территориальных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Меры поддержки территориальных кластеров приведены в </w:t>
      </w:r>
      <w:hyperlink w:anchor="Par9132" w:history="1">
        <w:r>
          <w:rPr>
            <w:rFonts w:ascii="Calibri" w:hAnsi="Calibri" w:cs="Calibri"/>
            <w:color w:val="0000FF"/>
          </w:rPr>
          <w:t>приложении 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33" w:name="Par8261"/>
      <w:bookmarkEnd w:id="433"/>
      <w:r>
        <w:rPr>
          <w:rFonts w:ascii="Calibri" w:hAnsi="Calibri" w:cs="Calibri"/>
        </w:rPr>
        <w:t>Ожидаемые KPI/социально-экономические эффекты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ожидаемым социально-экономическим эффектам относятся:</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34" w:name="Par8264"/>
      <w:bookmarkEnd w:id="434"/>
      <w:r>
        <w:rPr>
          <w:rFonts w:ascii="Calibri" w:hAnsi="Calibri" w:cs="Calibri"/>
        </w:rPr>
        <w:t xml:space="preserve">1. Доступность медицинской помощи населению - 9,3 посещения в расчете на 1 жителя в год </w:t>
      </w:r>
      <w:hyperlink w:anchor="Par8266" w:history="1">
        <w:r>
          <w:rPr>
            <w:rFonts w:ascii="Calibri" w:hAnsi="Calibri" w:cs="Calibri"/>
            <w:color w:val="0000FF"/>
          </w:rPr>
          <w:t>&lt;83&gt;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35" w:name="Par8266"/>
      <w:bookmarkEnd w:id="435"/>
      <w:r>
        <w:rPr>
          <w:rFonts w:ascii="Calibri" w:hAnsi="Calibri" w:cs="Calibri"/>
        </w:rPr>
        <w:t xml:space="preserve">&lt;83&gt; По </w:t>
      </w:r>
      <w:hyperlink w:anchor="Par8264" w:history="1">
        <w:r>
          <w:rPr>
            <w:rFonts w:ascii="Calibri" w:hAnsi="Calibri" w:cs="Calibri"/>
            <w:color w:val="0000FF"/>
          </w:rPr>
          <w:t>п. 1</w:t>
        </w:r>
      </w:hyperlink>
      <w:r>
        <w:rPr>
          <w:rFonts w:ascii="Calibri" w:hAnsi="Calibri" w:cs="Calibri"/>
        </w:rPr>
        <w:t xml:space="preserve"> - </w:t>
      </w:r>
      <w:hyperlink w:anchor="Par8277" w:history="1">
        <w:r>
          <w:rPr>
            <w:rFonts w:ascii="Calibri" w:hAnsi="Calibri" w:cs="Calibri"/>
            <w:color w:val="0000FF"/>
          </w:rPr>
          <w:t>11</w:t>
        </w:r>
      </w:hyperlink>
      <w:r>
        <w:rPr>
          <w:rFonts w:ascii="Calibri" w:hAnsi="Calibri" w:cs="Calibri"/>
        </w:rPr>
        <w:t xml:space="preserve"> источником информации является </w:t>
      </w:r>
      <w:hyperlink r:id="rId189" w:history="1">
        <w:r>
          <w:rPr>
            <w:rFonts w:ascii="Calibri" w:hAnsi="Calibri" w:cs="Calibri"/>
            <w:color w:val="0000FF"/>
          </w:rPr>
          <w:t>постановление</w:t>
        </w:r>
      </w:hyperlink>
      <w:r>
        <w:rPr>
          <w:rFonts w:ascii="Calibri" w:hAnsi="Calibri" w:cs="Calibri"/>
        </w:rPr>
        <w:t xml:space="preserve"> Администрации Смоленской области от 29.11.2013 N 983 "Об утверждении областной государственной программы "Развитие здравоохранения в Смоленской области" на 2014 - 2016 годы".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Заболеваемость туберкулезом - 52,3 случая на 100 тыс. населения.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Доля больных с выявленными злокачественными новообразованиями на 1 и 2 стадиях - 53,5%.</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Смертность от болезней системы кровообращения - 725 смертей на 100 тыс. населения.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Смертность от туберкулеза - 14,4 смертей на 100 тыс. населения.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Удельный вес больных злокачественными новообразованиями, состоящих на учете с момента установления диагноза 5 лет и более, - 55,3%.</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Ранняя неонатальная смертность - 4 случая на 1000 родившихся живыми.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Смертность детей в возрасте от 0 - 17 лет - 8,5 случаев на 1000 населения соответствующего возраста.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Число наркологических больных, находящихся в ремиссии от 1 года до 2 лет, - 8,94%.</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Число наркологических больных, находящихся в ремиссии более 2 лет, - 9,61%.</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36" w:name="Par8277"/>
      <w:bookmarkEnd w:id="436"/>
      <w:r>
        <w:rPr>
          <w:rFonts w:ascii="Calibri" w:hAnsi="Calibri" w:cs="Calibri"/>
        </w:rPr>
        <w:t>11. Укомплектованность штатных врачебных должностей - 91,8%.</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Создание более 60 новых рабочих мест </w:t>
      </w:r>
      <w:hyperlink w:anchor="Par8280" w:history="1">
        <w:r>
          <w:rPr>
            <w:rFonts w:ascii="Calibri" w:hAnsi="Calibri" w:cs="Calibri"/>
            <w:color w:val="0000FF"/>
          </w:rPr>
          <w:t>&lt;84&gt;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37" w:name="Par8280"/>
      <w:bookmarkEnd w:id="437"/>
      <w:r>
        <w:rPr>
          <w:rFonts w:ascii="Calibri" w:hAnsi="Calibri" w:cs="Calibri"/>
        </w:rPr>
        <w:t>&lt;84&gt; http://smolensk-i.ru/authority/v-smolenske-nachali-stroitelstvo-dializnogo-tsentra_50194.</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Повышение качества оказания медицинских услуг населению.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Продвижение в практическое здравоохранение современных конкурентоспособных видов специализированной и высокотехнологичной медицинской помощи, а также медицинских инноваций.</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38" w:name="Par8285"/>
      <w:bookmarkEnd w:id="438"/>
      <w:r>
        <w:rPr>
          <w:rFonts w:ascii="Calibri" w:hAnsi="Calibri" w:cs="Calibri"/>
        </w:rPr>
        <w:t>Предполагаемые управленческая и юридическая схемы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Предполагается, что управление развитием кластера в процессе его формирования и до момента создания специализированной организации развития кластера с образованием юридического лица - некоммерческого партнерства - осуществляется Советом кластера. В Совет кластера входят представители государственных органов власти Смоленской области, руководители предприятий - участников кластера, руководители учебных заведений.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Целью Совета является обеспечение стратегического руководства деятельностью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полномочия по развитию кластера от Совета кластера перейдут к некоммерческому партнерству. Основными целями деятельности некоммерческого партнерства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объединение членов Партнерства для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конкурентоспособности выпускаемой предприятиями кластера продукции и оказываемых услуг, а также иных видов деятельности, осуществляемых членами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повышение в обществе авторитета, престижа и общественной значимости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качественная профессиональная подготовка работников - членов Партнерства и индивидуальных предпринимателей (физических лиц) -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постоянная нацеленность на повышение стандартов деятельности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в реализации и защите законных прав и интересов членов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стандартов и правил деятельности членов Партнерства, а также контроль за соблюдением требований указанных стандартов и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и установление правил обеспечения гражданской ответственности каждого члена Партнерства перед потребителями и иными лицами, правил обеспечения имущественной ответственности иных лиц перед членами Партнерства, а также контроль за соблюдением требований указанных правил;</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пропаганда передового отечественного и мирового опыта, развитие сотрудничества с зарубежными и международными организациями в области науки и медицины.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39" w:name="Par8300"/>
      <w:bookmarkEnd w:id="439"/>
      <w:r>
        <w:rPr>
          <w:rFonts w:ascii="Calibri" w:hAnsi="Calibri" w:cs="Calibri"/>
        </w:rPr>
        <w:t>Риски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рисками развития кластера являются: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финансирования сферы здравоохранения (включая образовательную, научную деятельность, оказание медицинских услуг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оснащения необходимым оборудованием (лабораторным, диагностическим и т.д.);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недостаток квалифицированных трудовых ресурсов (отток кадров в Москву);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низкий уровень мотивации работников здравоохранения (включая, уровень оплаты труда).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40" w:name="Par8308"/>
      <w:bookmarkEnd w:id="440"/>
      <w:r>
        <w:rPr>
          <w:rFonts w:ascii="Calibri" w:hAnsi="Calibri" w:cs="Calibri"/>
        </w:rPr>
        <w:t>Приоритеты и мероприятия по развитию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Приоритеты и мероприятия по развитию кластера приведены в </w:t>
      </w:r>
      <w:hyperlink w:anchor="Par8318" w:history="1">
        <w:r>
          <w:rPr>
            <w:rFonts w:ascii="Calibri" w:hAnsi="Calibri" w:cs="Calibri"/>
            <w:color w:val="0000FF"/>
          </w:rPr>
          <w:t>приложении 6</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441" w:name="Par8316"/>
      <w:bookmarkEnd w:id="441"/>
      <w:r>
        <w:rPr>
          <w:rFonts w:ascii="Calibri" w:hAnsi="Calibri" w:cs="Calibri"/>
        </w:rPr>
        <w:t>Приложение 6</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442" w:name="Par8318"/>
      <w:bookmarkEnd w:id="442"/>
      <w:r>
        <w:rPr>
          <w:rFonts w:ascii="Calibri" w:hAnsi="Calibri" w:cs="Calibri"/>
          <w:b/>
          <w:bCs/>
        </w:rPr>
        <w:t>МЕТОДИКА</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ФОРМИРОВАНИЯ И РАЗВИТИЯ ТЕРРИТОРИАЛЬНО-ОТРАСЛЕВЫХ КЛАСТЕРОВ</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Данную методику можно применить к развитию кластера любой отраслевой принадлежности. Однако необходимо выполнить все шаги и проверить все предположения при создании и развитии каждого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1 - уточнение перспектив формирования и развития территориально-отраслевого кластера, минимизация рисков, связанных с первичным формированием Кластера, определение основных проблем, потенциально сдерживающих его успешное развитие, а также определение принципиальной конфигурации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Состав проводимых работ: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изучение производственного, образовательного и научно-исследовательского ландшафта региона для формирования территориально-отраслевого Кластера (далее - Кластера) в регионе;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выявление инициатора формирования и потенциальных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Результат: принятие решения о формировании Кластера и назначение ответственного за его формирование со стороны органов муниципальной и региональной власти.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2 - юридическое оформление Кластера, формирования его органов управления.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Состав проводимых работ: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Проведение переговоров с потенциальными участниками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Подготовка и проведение общего собрания, инициирующего оформление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Утверждение начальной конфигурации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Избрание руководящих органов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Результат: Юридическое оформление Кластера и избрание его руководящих органов.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3 - создание Стратегии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Состав проводимых работ: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Анализ базовых предпосылок формирования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Название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Географическое положение Кластера. Расстояние от удаленных участников до центра территории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Специализация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Инициатор проекта.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Основные участники.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Компания-координатор (управляющая компания).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Совет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Наличие минимально необходимых признаков Кластера (территориальная близость, одна отрасль у главных участников, количество производственных компаний, учебных заведений, научных организаций, поддержка властей, конкуренция внутри Кластера, организационная оформленность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Оценка стратегической направленности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Наличие сходных цепочек создания добавленной стоимости у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Наличие связей производственных, научных и образовательных организаций.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Выраженность в программе стратегических интересов участников Кластера (территориальных администраций, научных, образовательных, бизнес-организаций) и соответствие их стратегических интересов направлению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Наличие правовой и управленческой схемы взаимодействия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Соответствие направления развития Кластера и портфеля заявленных инвестиционных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Оценка территориальной структуры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Наличие выраженности и компактности размещения территориальных структурных компонентов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 Промышленного.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 Социального.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3.1.3. Инновационного.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 Образовательного.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Наличие, протяженность и достаточность путей сообщения между структурными компонентами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Оценка выраженности организационной структуры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Наличие и достаточность соглашений между участниками Кластера, уровень представленности в Кластере представителей региональных и местных органов власти.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Наличие и достаточность специализированных организаций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4.2.1. Оценка уровня проводимой работы: методического, организационного, экспертно-аналитического, информационного сопровождения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4.2.2. Оценка уровня и достаточности профессиональной квалификации управленческих кадров, ответственных за реализацию проектов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Оценка производственного потенциала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Оценка наличия и обоснованности позиционирования предприятий - участников Кластера на внутреннем и внешнем рынке.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Наличие и обоснованность сравнительного конкурентного анализа.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Оценка наличия и достаточности кооперации с малыми и средними производственными компаниями среди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Оценка объема и достаточности осуществленных частных инвестиций и прямых иностранных инвестиций в производственную инфраструктуру, развитие производственных мощностей, разработку новых продуктов, развитие персонала и в программы вывода на рынок новой продукции.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Оценка наличия и обоснованности описания цепочек добавленной стоимости формируемых участниками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Оценка общего объема формируемой Кластером добавленной стоимости.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Оценка наличия портфеля проработанных инвестиционных проектов создания, развития или реконструкции производственных мощностей, планируемых к реализации участниками Кластера на его территории.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Оценка уровня конкурентоспособности предприятий - участников Кластера на российских и зарубежных рынках (по наличию репутации лидеров рынка, технологической и организационной эффективности производства и уровню качества выпускаемой продукции).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Оценка наличия в составе участников Кластера крупных (якорных) компаний (с годовым объемом выручки от реализации продукции не менее 1 млрд. руб.) и их кластерообразующей роли.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5.10. Оценка разнообразия видов не сырьевой продукции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5.11. Оценка потенциала диверсификации продукции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5.12. Оценка уровня и достаточности развития международной кооперации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5.13. Оценка уровня и достаточности базовой производственной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5.14. Оценка уровня и достаточности географических и экономических (природные ресурсы) предпосылок для создания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5.15. Оценка наличия и достаточности заинтересованных частных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5.16. Оценка наличия и достаточности финансирования текущих проектов со стороны российских и западных финансовых институтов.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Оценка перспективы развития производственного потенциала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Оценка наличия и объективности маркетингового анализа и обоснованности планов позиционирования предприятий Кластера на внутреннем и внешнем рынках.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Оценка обоснованности и достаточности планов формирования высокопроизводительных рабочих мест с уровнем заработной платы, превышающим на 20% средний уровень в регионе базирования Кластера, на предприятиях и организациях - участниках Кластера в 2016 - 2020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Оценка достаточности планируемого развития кооперации с малыми и средними производственными компаниями и компаниями, оказывающими услуги в составе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Оценка обоснованности и достаточности ожидаемого роста частных инвестиций и прямых иностранных инвестиций в производственную инфраструктуру, развитие производственных мощностей, разработку новых продуктов, развитие персонала и в программы вывода на рынок новой продукции в 2016 - 2020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Оценка выраженности и обоснованности перспектив достижения/укрепления мирового/российского лидерства в сфере производства продукции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Оценка выраженности и обоснованности перспектив расширения, разнообразия продукции Кластера и выхода на новые рынки.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Оценка проработанности программы развития Кластера в части мер по развитию производственной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Оценка проработанности программы развития Кластера в части мер по повышению уровня производительности труда.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Оценка проработанности программы развития Кластера в части мер по содействию модернизации производства.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6.10. Оценка проработанности программы развития Кластера в части мер по продвижению продукции Кластера на внутренний и внешние рынки.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Оценка научно-технологического и образовательного потенциала: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Оценка доли персонала предприятий и организаций - участников Кластера, занятого исследованиями и разработками.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Оценка объема и достаточности затрат на исследования и разработки, развитие инновационной инфраструктуры предприятий и организаций-участников Кластера, а также региональных и местных органов власти за последний год, а также последние пять лет накопительным итогом, млн. руб.</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 Оценка наличия и достаточности высших и среднеспециальных учебных заведений, входящих в состав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 Оценка наличия и достаточности удельного веса инновационных товаров, работ, услуг в общем объеме отгруженных товаров собственного производства, выполненных работ и услуг силами предприятий и организаций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 Оценка наличия и достаточности заинтересованных частных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Оценка наличия и достаточности финансирования со стороны российских и западных финансовых институтов.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Оценка наличия и достаточности уровня развития исследовательской и образовательной деятельности организаций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Оценка наличия и достаточности уровня развития объектов научной и инновационной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Оценка наличия и достаточности планируемого в проектах корпоративных и субфедеральных бюджетов объема затрат на исследования и разработки, развитие инновационной инфраструктуры предприятий и организаций - участников Кластера, региональных и местных органов власти в период 2013 - 2020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7.10. Оценка перспектив достижения/укрепления мирового лидерства в сфере исследований.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 Оценка перспектив развития кадрового потенциала предприятий и организаций -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7.12. Оценка достаточности проработки программ развития Кластера в части развития сферы исследований и разработок, развития научной и инновационной инфраструктуры, международной научно-технической кооперации.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7.13. Оценка достаточности проработки программы развития Кластера в части развития системы подготовки и повышения квалификации кадров.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Оценка качества жизни и развитости транспортной, энергетической, инженерной и жилищной инфраструктур: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Оценка достаточности и обоснованности объема финансирования работ по развитию инфраструктуры Кластера и территории его базирования, в том числе из средств федерального, регионального и местного бюджетов и институтов развития, за последние 3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Оценка достаточности обеспечения территории Кластера объектами транспортной, энергетической, инженерной, социальной и жилищной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 Оценка наличия и степени заинтересованности частных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 Оценка достаточности финансирования со стороны российских и западных финансовых институтов.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8.5. Оценка достаточности и обоснованности запланированного предприятиями и организациями - участниками Кластера, региональными и местными бюджетами объема инвестирования в развитие инфраструктуры Кластера и территории его базирования в период до 2016 - 2020 гг. включительно.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Оценка ожидаемого уровня обеспеченности территории Кластера объектами транспортной, энергетической, инженерной и жилищной инфраструктуры в 2016 - 2020 гг.</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8.7. Оценка уровня проработанности мер по развитию транспортной, энергетической, инженерной и жилищной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Оценка запланированных мер поддержки, необходимых для развития Кластера (в т.ч. государственных):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Оценка наличия, необходимости и достаточности мер поддержки территориальных Кластеров в связи со вступлением России во Всемирную торговую организацию.</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Оценка наличия, необходимости и достаточности финансирования инновационных программ на принципах государственно-частного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Оценка наличия, необходимости и достаточности финансирования образовательных программ на принципах государственно-частного партнерства.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Оценка наличия, необходимости и достаточности привлечения долгосрочных инвестиций на развитие производственной и инновационной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9.5. Оценка наличия, необходимости и достаточности создания объектов коммунальной и социальной инфраструктуры за счет государственного финансирования, а также подключение к сетям.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9.6. Оценка наличия, необходимости и достаточности субсидирования налоговых платежей и тарифных ставок.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9.7. Оценка наличия, необходимости и достаточности запланированных мер по снижению административных барьеров.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Оценка наличия, необходимости и достаточности предоставления государственных финансовых и юридических гарантий.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9.9. Оценка наличия, необходимости и достаточности межведомственного взаимодействия, в том числе с исполнительной и законодательной ветвями власти в рамках реализации проектов и программ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9.10. Оценка достаточности поддержки экспортных программ предприятий, входящих в Кластеры.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Направления дальнейшего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Уточнение прогноза развития рынков в сфере деятельности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10.2. Развитие сектора исследований и разработок: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описание основных направлений поддержки осуществления работ и проектов в сфере исследований и разработок, которые предполагается реализовать участниками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описание основных мер в области содействия коммерциализации исследований и разработок;</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описание основных направлений и мероприятий по развитию международной научно-технической кооперации.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10.3. Развитие системы подготовки и повышения квалификации научных, инженерно-технических и управленческих кадров: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описание мероприятий по расширению объемов и повышению качества подготовки специалистов по программам среднего, высшего и дополнительного профессионального образования, развитию системы непрерывного образования;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описание мероприятий по расширению объемов и повышению качества переподготовки и повышению квалификации научных, инженерно-технических и управленческих кадров, развитию системы общего и внешкольного образования.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Развитие производственного потенциала: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описание основных мер по развитию производства и производственной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развитие малого и среднего предпринимательства;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улучшение инвестиционного климата, включая, в том числе, содействие реализации крупных инвестиционных проектов, создание и развитие промышленных парков и технопарков, бизнес-инкубаторов.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Организационное развитие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описание мероприятий по созданию и развитию специализированных органов управления развитием Кластера, методическому, организационному, экспертно-аналитическому, информационному сопровождению обеспечению деятельности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подготовка политики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общая политика решения широкого круга вопросов, так как они рассматриваются в качестве инструмента для содействия экономическому развитию и структурным изменениям;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политика улучшения делового сотрудничества и создания сетей сотрудничества;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политика связи фирм по вопросам производственной инфраструктуры;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политика государственных или полугосударственных организаций в качестве посредников в деле поощрения межфирменных сетей и совместных проектов;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политика совершенствования инновационного потенциала, управления знаниями и т.д. на предприятиях Кластера за счет улучшения интерактивного процесса обучения между фирмами и окружающей средой;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политика стимулирования создания специализированных факторов и специальных знаний;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политика достижения критической массы фирм, региональных организаций и компаний регионального сотрудничества;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выявление наиболее востребованных участниками Кластера совместных мероприятий: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совместные закупки сырья и комплектующих;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производство для коллективных нужд;</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ремонтные службы совместного пользования;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совместное продвижение продукции (сертификации, зонтичный бренд, лицензирование, участие в выставках и т.п.);</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совместные образовательные программы;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модернизация (переподготовка) человеческих ресурсов;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конъюнктурные исследования, конкурентная разведка бизнес-среды;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совместные разработки и исследования.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Согласование Стратегии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Согласование приоритетов, выделенных в Стратегии развития Кластера, Заказчиком.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Уточнение замечаний и предложений по доработке Стратегии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11.3. Подготовка окончательного варианта Стратегии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Результат: Утверждение Стратегии развития Кластера общим собранием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Цель 4 - Разработка проекта документов для конкурсной заявки для получения государственного финансирования Кластера (для кластеров, подходящих под параметры инновационных).</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Состав проводимых работ:</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Уточнение актуальных требований федеральных органов исполнительной власти к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Разработка конкурсной документации от Кластера для проведения конкурсного отбора Кластера на основании Стратегии развития Кластера, информации и материалов, переданных Заказчиком, в соответствии с требования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 (далее - Заявка):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сбор информации о потребностях и планах участников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разработка содержания Заявки.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Согласование Заявки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согласование приоритетов, выделенных в Заявке с Заказчиком;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уточнение замечаний и предложений по доработке Заявки;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подготовка окончательного варианта Заявки.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Результат: есть проект набора документов для подачи заявки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Ожидаемые результаты: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Полностью сформирован территориально-отраслевой Кластер.</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Подготовлена и утверждена Стратегия развития Кластера.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Подготовлен набор документов для подачи заявки на конкурс Минэкономразвития в соответствии с требованиями конкурсной документации для проведения конкурсного отбора Кластеров в субъектах Российской Федерации, бюджетам которых предоставляются субсидии для финансирования мероприятий, осуществляемых в рамках оказания государственной поддержки территориально-отраслевых Кластеров.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443" w:name="Par8482"/>
      <w:bookmarkEnd w:id="443"/>
      <w:r>
        <w:rPr>
          <w:rFonts w:ascii="Calibri" w:hAnsi="Calibri" w:cs="Calibri"/>
        </w:rPr>
        <w:t>Приложение 7</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444" w:name="Par8484"/>
      <w:bookmarkEnd w:id="444"/>
      <w:r>
        <w:rPr>
          <w:rFonts w:ascii="Calibri" w:hAnsi="Calibri" w:cs="Calibri"/>
          <w:b/>
          <w:bCs/>
        </w:rPr>
        <w:t>МИРОВЫЕ ЛИДЕРЫ</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ПРИОРИТЕТНЫХ ОТРАСЛЯХ</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45" w:name="Par8487"/>
      <w:bookmarkEnd w:id="445"/>
      <w:r>
        <w:rPr>
          <w:rFonts w:ascii="Calibri" w:hAnsi="Calibri" w:cs="Calibri"/>
        </w:rPr>
        <w:t>Таблица 45</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Представители ведущих компаний - лидеров в отраслях,</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приоритетных для 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061"/>
        <w:gridCol w:w="1814"/>
        <w:gridCol w:w="1814"/>
        <w:gridCol w:w="3685"/>
        <w:gridCol w:w="3969"/>
        <w:gridCol w:w="10091"/>
      </w:tblGrid>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Страна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компании</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Контактная информация головного офиса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Контактная информация представительства в России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Веб-сайт</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Австрия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FACC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Fischerstra e 9 A-4910 Ried im Innkreis Lage-und Anfahrtsplan;</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Telefon: +43/59/616-0;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Telefax: +43/59/616-81000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office@facc.com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www.facc.com/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Hexcel Corporation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281 Tresser Boulevard, 16th Floor Stamford, CT 06901-3261, USA;</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(203) 352-6800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125009, г. Москва, ул. Тверская, д. 16, стр.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411-55-20;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+7(915) 040-81-85</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www.hexcel.com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Dassault Systemes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 Rue Marcel Dassault 78140 Vlizy-Villacoublay FRANCE;</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+ 33 1 61 62 61 62;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+ 33 1 70 73 43 63</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660 47 55</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www.3ds.com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BASF</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Carl-Bosch-Strasse 38 67056 Ludwigshafen,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+49 621 60 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+49 621 60 42525;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global.info@basf.com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119017, Москва, Кадашевская наб., 14, к. 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+7 495 231 7200;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+7 495 231 7201;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info.Russia@basf.com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www.basf.com;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www.basf.ru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Bayer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D-51368 Leverkusen,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+49 214 301;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107113, Москва, 3-я Рыбинская ул., дом 18, стр. 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+7 495 231 1200;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+7 495 231 1202;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www.bayer.com;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www.bayer.ru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Dow Chemical</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2030 Dow Center Midland, MI 48674, United States;</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+1 989 636 1000;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+1 989 832 1556;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119311, Москва, проспект Вернадского, 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+7 495 663 7820;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+7 495 663 7902;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www.dow.com;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www.dow.com/russia/ru/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Нидерланды</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LyondellBasell Industries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Groot Handelsgebouw (Entr. A) Stationsplein 45 3013 AK, Rotterdam, Netherlands;</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+31 10 275 5500;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+31 10 275 5589;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127006, Москва, Успенский пер., 10, стр.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+7 495 641 3322;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+7 495 641 3323;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www.lyondellbasell.com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Linde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Klosterhofstr. 1 80331 Munich,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89 35757 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 89 35757 1075;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info@linde.com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143907, Московская область, г. Балашиха, ул. Белякова, 1а;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+7 495 212 0461;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495 777 7047;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ru-info@linde.com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www.linde-worldwide.com;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www.linde-group.ru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Shin-Etsu Chemical</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Asahi Seimei Otemachi Bldg. 6-1, Ohtemachi 2-chome, Chiyoda-ku, Tokyo 100-0004 Japan;</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+81 3 3246 5091;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www.shinetsu.co.jp/en/</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Бельгия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Solvay</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RUE DE RANSBEEK, 310 1120 BRUXELLES, Belgium;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+32 2 264 2111;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+32 2 264 1802;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125284, Москва, ул. Беговая, д. 3, стр.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+7 495 981 9535;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+7 495 981 9545;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Moscow.SolvayCIS@solvay.com;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maxim.khokhlov@solvay.com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www.solvay.com;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www.solvay.ru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Lanxess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Kennedyplatz 1 50569 Cologne,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+49 221 8885 3851;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+49 221 8885 4944;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123100, Москва, Пресненская набережная, 12 ММДЦ "Москва-Сити", Башня "Федерация" (Б), 46 этаж;</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+7 495 232 0610;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+7 495 232 0622;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www.lanxess.de;</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www.lanxess.ru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K+S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Bertha-von-Suttner Str. 7 34131 Kassel,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+49 561 9301 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www.k-plus-s.com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Композитный кластер (включая производство продукции химической и нефтехимической промышленности)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Arkema</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Tersteegenstrasse 28 D - 40474 Dusseldorf,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+49 211 4552 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119049, Москва, ул. Шаболовская, 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+7 495 796 9668;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www.arkemagroup.com;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www.arkema.ru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General Electric</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3135 Easton Turnpike Fairfield, CT 06828, United States;</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+1 203 373 2211;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123317, Москва, Пресненская наб., д. 10 ("Башня на Набережной"), 11 этаж;</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+7 495 739 6811;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+7 495 739 6801;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www.ge.com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Siemens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Wittelsbacherplatz 2 80333 Munich,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69 797 6660;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contact@siemens.com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115184, Москва, Большая Татарская ул., 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+7 495 737 1923;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+7 495 737 1125.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Общая справочная служба ООО "Сименс":</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(495) 737 10 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natalia.makarova@siemens.com;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info.ru@siemens.com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www.siemens.com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Hitachi</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6-6, Marunouchi 1-chome, Chiyoda-ku, Tokyo, 100-8280 Japan;</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+81 3 3258 111;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IR@hdq.hitachi.co.jp</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107045, Москва, ул. Трубная, 12 ("Миллениум хаус"), 4 этаж;</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+7 495 787 4020;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+7 495 787 4021;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moscow.office.ec@hitachi.com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www.hitachi.com;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www.hitachi.ru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Alstom</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Avenue Andre Malraux 92309 Levallois-Perret Cedex, France;</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+33 1 4530 8575;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investor.relations@chq.alstom.com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115093, Москва, ул. Щипок, 18, стр. 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+ 7 495 231 2949;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+ 7 495 231 2945;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www.alstom.com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Канада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Bombardier</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800 Rene-Levesque Blvd. West Montreal, Quebec, Canada H3B 1Y8;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+1 514 861 9481;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+1 514 861 2420;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105005, Москва, Денисовский переулок, д. 26;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+7 495 775 1830;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+7 495 775 1832;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bombardier.com/en/home.html;</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ru.bombardier.com/ru/home.htm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Shanghai Electric Group</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212, Qinjiang Road, Shanghai China;</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8621 3326 1888;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8621 3469 5780;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service@shanghai-electric.com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www.shanghai-electric.com/Pages/Index.aspx</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Finmeccanica</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Piazza Monte Grappa n. 4, 00195 Roma;</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+39 06 324731;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+39 06 3208621;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webeditor@finmeccanica.it</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119435, Москва, Саввинская наб., 15, (Бизнес-центр "Японский Дом");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+ 7 495 544 5974</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www.finmeccanica.com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Швейцария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Sulzer Group</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Neuwiesenstrasse, 15 8401 Winterthur, Switzerland;</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+41 52 262 1122;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+41 52 262 0101;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119034, Москва, Остоженка ул., 6, стр. 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+7 495 287 2948;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www.sulzer.com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Машиностроительный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Vossloh Schwabe</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Wasenstrasse 25 D-73660 Urbach;</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7181 80020;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 7181 8002122;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info.vsv@vsv.vossloh-schwabe.com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www.vossloh-schwabe.com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Siemens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Wittelsbacherplatz 2 80333 Munich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69 797 6660;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contact@siemens.com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115184, Москва, Большая Татарская ул., 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+7 495 737 1923;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+7 495 737 1125.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Общая справочная служба ООО "Сименс":</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(495) 737 10 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natalia.makarova@siemens.com;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info.ru@siemens.com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www.siemens.com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Schneider Electric</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35 rue Joseph Monier 92500 Rueil Malmaison France;</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+33 1 41 29 7000;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+33 1 41 29 7100;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127018, Москва, ул. Двинцев, д. 12, корп. 1, здание "А";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+7 495 777 9990;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+7 495 777 9992;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www2.schneider-electric.com;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www.schneider-electric.ru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Mitsubishi Electric</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Tokyo Building, 2-7-3, Marunouchi, Chiyoda-ku, Tokyo 100-8310, Japan;</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+81 3 3218 2111;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115035, Москва, Космодамианская наб., д. 52, стр. 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+7 495 721 2070;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+7 495 721 2071;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info-mro@mer.mee.com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www.mitsubishielectric.com;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www.mitsubishielectric.ru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Emerson Electric</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8000 West Florissant Avenue, St. Louis MO 63136 United States;</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+1 314 553 2000;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115114, Москва, ул. Летниковская, 10/2, 5 этаж;</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+7 495 981 981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+7 495 981 981 0</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www.emerson.com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Agilent Technologies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5301 Stevens Creek Boulevard Santa Clara, CA 95051 Unaited States;</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+1 408 345 8886;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115054, Москва, Космодамианская набережная, д. 52, строение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+7 495 797 3900;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+7 495 797 3901;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www.agilent.com;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www.home.agilent.com/agilent/home.jspx?cc=RU&amp;lc=rus</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LeGrand</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128, avenue du Mar chal de Lattre de Tassigny 87045 Limoges cedex France;</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+33 5 55 06 87 87;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+33 5 55 06 74 55;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107023, Москва, ул. М. Семеновская, д. 9, стр. 12;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+7 495 660 7550, 660 7560;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+7 495 660 7561;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bureau.moscou@legrand.ru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www.legrand.com www.legrand.ru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Prysmian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Viale Sarca 222 20126 - Milan Italy;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+39 02 6449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marketing.energy@prysmiangroup.com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105062, Москва, ул. Чаплыгина 20, строение 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+7 495 777 8086;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+7 495 777 8089;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info.ru@prysmiangroup.com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prysmiangroup.com/en/index.html;</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ru.prysmiangroup.com/ru/corporate/contact/Contact-us/index.html</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Бразилия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WEG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Avenida Prefeito Waldemar Grubba, 3300 Jaragu do Sul - Santa Catarina Brasil;</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+55 47 3276 4000;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+55 47 3276 4010;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194292, Санкт-Петербург, Проспект культуры 44, офис 419;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+7 812 363 2172;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+ 7 812 363 2173;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sales-wes@weg.net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www.weg.net/br;</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www.weg.net/ru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Omron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Kyoto Head OfficeMAP Shiokoji Horikawa, Shimogyo-ku, Kyoto 600-8530 Japan;</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+81 75 344 7000;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+81 75 344 7001;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125040, Москва, ул. Правды, 26;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+7 495 648 9450;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+7 495 648 9451/52;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www.omron.com;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omron.ru/ru/home</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приборостроения и электротехники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LECO</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3000 Lakeview Avenue St. Joseph, Michigan 49085 United States;</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+1 269 983 5531;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+1 269 982 8977;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info@leco.com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115280, Москва, 1-й Автозаводский проезд, д. 4, корп.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+7 495 710 3818;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referent@leco.ru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www.leco.com 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leco-europe.com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Deutsche Lufthansa</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Lufthansa Aviation Centre 60546 Frankfurt,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69-696-0/+49 69 696, доб. 28010;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 69 696 90990;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andreas.hagenbring@dlh.de</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107045, Москва, Трубная площадь, д. 2, 1 этаж;</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+7 495 980 9999;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+7 495 737 6401;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service-team.moscow@dlh.de</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www.lufthansa.com/online/portal/lh/ru/homepage</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Air France-KLM</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45 Rue de Paris 95747 Roissy CDG Cedex, France;</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+33 1 41 56 7800;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+33 1 41 56 8419;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119049, Москва, ул. Мытная, д.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+7 495 937 3839;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+7 495 937 3832;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www.airfrance.com;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www.airfrance.ru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Великобритания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InterContinental Hotels Group</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Broadwater Park Denham Buckinghamshire UB9 5HR UK;</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+44 1895 512216;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+44 0870 197 4232;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Investor.Relations@ihg.com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107014, Москва, Русаковская ул., 24, "Холидей Инн Сокольники";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+7 495 786 7373;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+7 495 786 7374;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sales.russia@ichotelsgroup.com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www.ihgplc.com;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www.ihg.com/hotels/ru/ru/reservation</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Accor Group</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Tour Maine Montparnasse, 33, Ave. du Maine, Paris Cedex 15, 75755, France;</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+33 1 45 38 86 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+33 1 45 38 85 95;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comfi@accor.com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109147, Москва, ул. Таганская, д. 17/23;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+7 495 642 9040;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+7 495 942 9041;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philippe.bone@accor.com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www.accor.com/en/franchise-and-management/contacts-and-countries-information/zones/russia-cis/russia.html</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TUI AG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Karl-Wiechert-Allee 4 30625 Hanover,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+49 511 56600;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+49 511 5661901;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125167, Москва, ул. Викторенко, д. 5, стр. 1, БЦ "Виктории-плаза";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+7 495 937 6647;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+7 495 937 6607;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corp@tui.ru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www.tui-group.com;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www.tui.ru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Ausstellungs und Messe-Ausschuss der Deutschen Wirtschaft e.V. (AUMA)</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r w:rsidRPr="00427D1E">
              <w:rPr>
                <w:rFonts w:ascii="Calibri" w:hAnsi="Calibri" w:cs="Calibri"/>
                <w:position w:val="-6"/>
              </w:rPr>
              <w:pict>
                <v:shape id="_x0000_i1061" type="#_x0000_t75" style="width:66.75pt;height:17.25pt">
                  <v:imagedata r:id="rId190" o:title=""/>
                </v:shape>
              </w:pict>
            </w:r>
            <w:r w:rsidR="00703D06">
              <w:rPr>
                <w:rFonts w:ascii="Calibri" w:hAnsi="Calibri" w:cs="Calibri"/>
              </w:rPr>
              <w:t xml:space="preserve"> 9 10179 Berlin, Germany;</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30 24000;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 30 2400 0330;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info@auma.de</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www.auma.de</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Messe Berlin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Messedamm 22, D-14055 Berlin;</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 30 30380;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 30 3038 2325;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central@messe-berlin.de</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121087, Москва, Багратионовский пр-д, д. 7, корп. 20в, офис 722;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+7 495 785 3643;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+7 495 785 3643;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info@messe-berlin.ru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www.messe-berlin.de</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The Walt Disney Company Parks and Resorts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500 S. Buena Vista St. Burbank CA 91521, United States;</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+1 818 560 1000;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121099, Москва, Новинский б-р, 8 "Лотте Плаза";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+7 495 646 9000;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+7 495 646 9001;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info@waltdisney.ru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thewaltdisneycompany.com;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waltdisney.ru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Universal Parks and Resorts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100 Universal City Plaza Universal City CA 91608, United States;</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+1 818 777 1000;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форма обратной связи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themeparks.universalstudios.com/index.php</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Saint-Gobain</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Les Miroirs 18, avenue d'Alsace 92400 Courbevoie, France;</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phone: +33 1 47 62 30 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www.saint-gobain.fr</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Швейцария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Holcim</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Hagenholzstrasse 85 CH-8050 Zurich, Switzerland;</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phone: +41 58 858 58 58;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fax: +41 58 858 58 59</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www.holcim.com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Lafarge</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61 rue des Belles Feuilles 75116 Paris - France Direct;</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line: +33 (0) 1 44 34 11 11</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115114, г. Москва, ул. Летниковская, д. 2, строение 1, Бизнес-центр "Вивальди Плаза";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926 71 31;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926 71 30;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info@lafarge.com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www.lafarge.fr</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HeidelbergCement</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HeidelbergCement AG Headquarters Berliner Str. 6 69120, Heidelberg;</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phone: +49 6221 481-0;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fax: +49 6221 481-13553;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info@heidelbergcement.com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125047 Москва, 1-ая Брестская ул., 29;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(495) 662 1063;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(495) 662 1064;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contact.russia@heidelbergcement.com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www.heidelbergcement.com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China National Building</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21th Floor, Tower 2, Guohai Plaza #17 Fuxing Road, Haidian District, Beijing China, 100036;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phone: (8610) 68138300;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fax: (8610) 68138388;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cnbmltd@cnbm.com.cn</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www.cnbmltd.com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International Paper</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6400 Poplar Avenue Memphis, TN 38197, USA;</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800-207-4003;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internationalpaper.comm@ipaper.com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БЦ "Боллоев", 5 этаж, пер. Гривцова, 4, лит. А г. Санкт-Петербург, 190000, Россия;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(+7 812) 334 57 30;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(0) 812 334 57 40</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www.internationalpaper.com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Кластер производства стройматериалов и деревообработки</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Финляндия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Stora Enso</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Kanavaranta 1 P.O. Box 309 FI-00101 Helsinki, Finland;</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tel: +358 20 46 131;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fax: +358 20 46 21302</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www.storaenso.com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Nippon Express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адрес: 2-й Хуторская ул., 38а, корп. N 23, Москва, 127287;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7(495) 609-6023;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7(495) 609-6026</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www.nittsu.co.jp</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Япония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Yamato Holdings</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Address: 16-10, Ginza 2-chome, Chuo-ku, Tokyo 104-8125, Japan:;</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ir@kuronekoyamato.co.jp;</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telephone: + 81-3-3541-4141;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facsimile: + 81-3-5565-3427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www.yamato-hd.co.jp</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DHL</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141400, Московская обл., г. Химки, ул. Ленинградская, владение 39, строение 5, Химки, Бизнес Парк, этаж 10;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+7(495) 933 22 00/01;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+7(495) 933 22 02;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globalforwardingrussia@dhl.com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http://www.dhl.ru/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Нидерланды</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TNT</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ул. 2-я Лыковская, д. 63, стр. 10, 123458, Москва.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Отдел развития бизнеса по России: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tel: +7(495) 221-5029;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fax +7(495) 797-2707</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http://www.tnt.com/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Австрия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LKW WALTER</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Industriezentrum No-Sud, Strase 14 AT-2355 Wiener, Neudorf;</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+43 5 7777-0;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+43 5 7777-33;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austria@lkw-walter.com</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www.lkw-walter.com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Великобритания; Нидерланды</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Unilever</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Unilever N.V. Weena 455 PO Box 760 3000 DK, Rotterdam, Netherlands</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123022, г. Москва, ул. Сергея Макеева, д. 13, "Marr Plaza";</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745-75-00;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Sergey.Bodnarchuk@unilever.com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http://www.unilever.ru/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Швейцария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Nestle</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Nestle S.A. Avenue Nestle 55, 1800 Vevey, Switzerland;</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+41 21 924 1111</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115054, Москва, Павелецкая пл., д. 2, стр.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7(495) 725-7000;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7(495) 725-7070;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contact@ru.nestle.com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www.nestle.ru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Дания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Tulip Food Company</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Tulip Food Company A/S Tulipvej 1 DK-8940 Randers, SV;</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phone: +45 89 10 50 00;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fax: +45 89 10 50 01;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tulip@tulip.dk</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117198, Москва, Ленинский проспект 113/1, офис 213е: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+7(495) 514 16 17;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+7(495) 514 16 18;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office@tulipfood.ru</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http://www.tulipfood.ru;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http://www.tulipfoodcompany.com</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Финляндия</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Valio</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Meijeritie 6 PO Box 10 FIN - 00039 Хельсинки Финляндия;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+358 1038 1121;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+358 9 562 5068</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197374, г. Санкт-Петербург, Приморский пр., д. 54, корп. 1, литера 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+7 812 320 1221;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+7 812 305 1441</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http://www.valiorussia.ru/</w:t>
            </w:r>
          </w:p>
        </w:tc>
      </w:tr>
      <w:tr w:rsidR="00703D06">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Животноводческий кластер</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PepsiCo</w:t>
            </w:r>
          </w:p>
        </w:tc>
        <w:tc>
          <w:tcPr>
            <w:tcW w:w="3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Европейский офис Rue du Rh ne 50 1204 Geneva, Switzerland;</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(914) 253-2000</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105064, г. Москва, ул. Земляной Вал, д. 9, ДЦ "Ситидел";</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+7 495 9370550;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Moscow.Reception@Pepsico.com</w:t>
            </w:r>
          </w:p>
        </w:tc>
        <w:tc>
          <w:tcPr>
            <w:tcW w:w="100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http://www.pepsico.com/</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446" w:name="Par9130"/>
      <w:bookmarkEnd w:id="446"/>
      <w:r>
        <w:rPr>
          <w:rFonts w:ascii="Calibri" w:hAnsi="Calibri" w:cs="Calibri"/>
        </w:rPr>
        <w:t>Приложение 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447" w:name="Par9132"/>
      <w:bookmarkEnd w:id="447"/>
      <w:r>
        <w:rPr>
          <w:rFonts w:ascii="Calibri" w:hAnsi="Calibri" w:cs="Calibri"/>
          <w:b/>
          <w:bCs/>
        </w:rPr>
        <w:t>ИНСТРУМЕНТЫ И ФОРМЫ</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ПОДДЕРЖКИ РАЗВИТИЯ КЛАСТЕРОВ</w:t>
      </w:r>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48" w:name="Par9135"/>
      <w:bookmarkEnd w:id="448"/>
      <w:r>
        <w:rPr>
          <w:rFonts w:ascii="Calibri" w:hAnsi="Calibri" w:cs="Calibri"/>
        </w:rPr>
        <w:t>Таблица 46</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Финансовые инструменты и формы поддержки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45"/>
        <w:gridCol w:w="2438"/>
        <w:gridCol w:w="1984"/>
        <w:gridCol w:w="2381"/>
        <w:gridCol w:w="2438"/>
        <w:gridCol w:w="3345"/>
      </w:tblGrid>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инструмента (формы) поддержки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Нормативные правовые акты,</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предоставления поддержки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Категории организаций, на которые распространяется поддержка</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Ответственные лица</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49" w:name="Par9151"/>
            <w:bookmarkEnd w:id="449"/>
            <w:r>
              <w:rPr>
                <w:rFonts w:ascii="Calibri" w:hAnsi="Calibri" w:cs="Calibri"/>
              </w:rPr>
              <w:t>Группа Внешэкономбанка</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0" w:name="Par9152"/>
            <w:bookmarkEnd w:id="450"/>
            <w:r>
              <w:rPr>
                <w:rFonts w:ascii="Calibri" w:hAnsi="Calibri" w:cs="Calibri"/>
              </w:rPr>
              <w:t>ВНЕШЭКОНОМБАНК</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 Предоставление кредитов, займов, осуществление лизинговых операций и финансирование на возвратной основе в иных формах, предусмотренных Федеральным законом "О банке развития";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 выдача гарантий и поручительств;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участие в уставных капиталах хозяйственных обществ;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гарантийная поддержка экспорта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ФЗ "О банке развития, Меморандум о финансовой политике Внешэкономбанка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соответствие инвестиционных проектов кластеров критериям Меморандума (срок окупаемости проекта - более 5 лет; общая стоимость проекта - более 2 млрд. рублей)</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организации - инициаторы инвестиционных проектов кластеров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пр-т Академика Сахарова, 9, Москва, ГСП-6, 107996, Россия;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справочная банка: +7(495) 721-18-63;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+7(495) 721-92-91;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info@veb.ru</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1" w:name="Par9165"/>
            <w:bookmarkEnd w:id="451"/>
            <w:r>
              <w:rPr>
                <w:rFonts w:ascii="Calibri" w:hAnsi="Calibri" w:cs="Calibri"/>
              </w:rPr>
              <w:t>"ВЭБ Инжиниринг"</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 организация финансирования проектов, оценка бизнеса и активов</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Регулируются внутренними документами ОАО "ВЭБ Инжиниринг"</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соответствие отраслевым компетенциям.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Компании: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нефте- и газо- перерабатывающая промышленность;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горнодобывающая промышленность;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строительство инфраструктурных объектов;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нефтехимическая, химическая и биотехнологическая промышленность;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производство строительных материалов;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др., относящиеся к списку приоритетных отраслей РФ</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организации - инициаторы инвестиционных проектов кластеров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ул. Маши Порываевой, д. 7, стр. 2, Москва, 107078, Россия;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(495) 258-84-20;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(495) 258-60-64;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электронная почта: info@vebeng.ru</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2" w:name="Par9182"/>
            <w:bookmarkEnd w:id="452"/>
            <w:r>
              <w:rPr>
                <w:rFonts w:ascii="Calibri" w:hAnsi="Calibri" w:cs="Calibri"/>
              </w:rPr>
              <w:t>Фонд "ВЭБ-инновации"</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Финансовое содействие развитию инновационных проектов в РФ (через вклад в уставной капитал инновационных компаний или в форме заемного финансирования на льготных условиях)</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внутренние процедуры Фонда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виды финансирования, размер и сроки возвратности: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акционерное финансирование (до 5 лет и до 90 млн. руб.);</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заемное финансирование (до 2 лет по ставке рефинансирования ЦБ + 3%).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Соответствие критериям отбора проектов</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малые и средние инновационные проекты на ранней стадии развития: посев, ранняя, развитие.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Тип проекта, получающий финансирование: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инновационный проект - участник Фонда "Сколково";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инновационный проект, удовлетворяющий критериям отбора проектов</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Чистопрудный бульвар, дом 11/1, г. Москва, 105062, РФ;</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8(495) 784 61 81;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innoveb@innoveb.ru</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3" w:name="Par9197"/>
            <w:bookmarkEnd w:id="453"/>
            <w:r>
              <w:rPr>
                <w:rFonts w:ascii="Calibri" w:hAnsi="Calibri" w:cs="Calibri"/>
              </w:rPr>
              <w:t>ОАО "Связь-Банк"</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"Господдержка малого и среднего предпринимательства на цели Инноваций, Модернизации и Энергоэффективности в рамках предоставляемого ОАО "МСП Банк" финансирования"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внутренние процедуры 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размер кредита: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 до 30 млн. рублей;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до 60 млн. рублей.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Цель кредита - финансирование на цели модернизации, инноваций и энергосбережения.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Виды кредитования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кредит с единовременной выборкой денежных средств;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невозобновляемая кредитная линия</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юридические лица и ИП, применяющих стандартную форму финансовой отчетности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ул. Тверская, д. 7, г. Москва, 125375;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+7(495) 771-32-60;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+7(495) 771-32-76;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sviaz-bank@sviaz-bank.ru;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Internet:: www.sviaz-bank.ru;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S.W.I.F.T.: SVIZRUMM;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телекс: 623467 SVIAZ 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контакт-центр: 8(800) 200-23-03;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580-00-80</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4" w:name="Par9218"/>
            <w:bookmarkEnd w:id="454"/>
            <w:r>
              <w:rPr>
                <w:rFonts w:ascii="Calibri" w:hAnsi="Calibri" w:cs="Calibri"/>
              </w:rPr>
              <w:t>ВТБ Капитал</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Инвестиционные кредиты сроком на 5, 7, 10 лет</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внутренние процедуры Банка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собственных средств, наличие разрешительной документации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компании сегмента малого и среднего бизнеса с выручкой до 19 млрд. руб.</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Блинов Сергей Сергеевич, директор управления регионального бизнеса ОАО "Банк ВТБ";</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ssblinov@vtb.ru;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(495) 775-54-54, 1-68-16</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в капитал</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правила доверительного управления закрытыми паевыми инвест. фондами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наличие бизнес-плана, продаж от реализации продукции/услуг и/или контрактов с покупателями; софинансирование со стороны институтов развития, частных или институциональных инвесторов</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малые и средние предприятия в научно-технической сфере</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Панков Александр Владимирович, директор;</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alexander.pankov@vtbcapital.com;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(495) 725-55-40</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5" w:name="Par9235"/>
            <w:bookmarkEnd w:id="455"/>
            <w:r>
              <w:rPr>
                <w:rFonts w:ascii="Calibri" w:hAnsi="Calibri" w:cs="Calibri"/>
              </w:rPr>
              <w:t>ФОНД СОДЕЙСТВИЯ РАЗВИТИЮ МАЛЫХ ФОРМ ПРЕДПРИЯТИЙ В НАУЧНО-ТЕХНИЧЕСКОЙ СФЕРЕ</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"СТАРТ" - поддержка инновационных проектов начинающих предприятий</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6 млн. руб. на 3 года реализации проекта: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1-й год - до 1 млн. руб.;</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2-й год - до 2 млн. руб.;</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3-й год - до 3 млн. руб.</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субъекты малого предпринимательства, существующие не более 2-х лет и имеющие объем реализации продукции не более 0,3 млн. рублей в год</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Цветкова Елизавета Игоревна;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(495) 231-19-06, доб. 185;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tsvetkova@fasie.ru</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"Развитие" - поддержка инновационных проектов по приоритетным направлениям науки и техники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15 млн. руб. на 2 - 3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субъекты малого предпринимательства с оборотами несколько десятков миллионов рублей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Цветкова Елизавета Игоревна;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(495) 231-19-06, доб. 185;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tsvetkova@fasie.ru</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"Кооперация" - развитие производственной кооперации малого и крупного бизнеса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15 млн. руб. на 2 - 3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субъекты малого предпринимательства, разрабатывающие новые технологии или продукцию (материал, оборудование и т.п.) в интересах крупных компаний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Цветкова Елизавета Игоревна; тел.: (495) 231-19-06, доб. 185; e-mail: tsvetkova@fasie.ru</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по поддержке совместных международных проектов с участием малых российских инновационных компаний в рамках соглашений о сотрудничестве</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Конкурс на проведение НИОКР в рамках 94-ФЗ</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8 млн. руб. на 1,5 - 2,5 года</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субъекты малого предпринимательства, занимающиеся проведением совместных проектов в области прикладных исследований с зарубежными партнерами Фонда (BMBF, OSEO Innovation, TEKES и др.)</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Левченко Ольга Георгиевна;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 (495) 231-19-05, доб. 165;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levchenko@fasie.ru</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56" w:name="Par9269"/>
            <w:bookmarkEnd w:id="456"/>
            <w:r>
              <w:rPr>
                <w:rFonts w:ascii="Calibri" w:hAnsi="Calibri" w:cs="Calibri"/>
              </w:rPr>
              <w:t>РВК (дочерние фонды)</w:t>
            </w:r>
          </w:p>
        </w:tc>
      </w:tr>
      <w:tr w:rsidR="00703D06">
        <w:tc>
          <w:tcPr>
            <w:tcW w:w="13031" w:type="dxa"/>
            <w:gridSpan w:val="6"/>
            <w:tcBorders>
              <w:top w:val="single" w:sz="4" w:space="0" w:color="auto"/>
              <w:left w:val="single" w:sz="4" w:space="0" w:color="auto"/>
              <w:bottom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7" w:name="Par9270"/>
            <w:bookmarkEnd w:id="457"/>
            <w:r>
              <w:rPr>
                <w:rFonts w:ascii="Calibri" w:hAnsi="Calibri" w:cs="Calibri"/>
              </w:rPr>
              <w:t>"Инфраструктурные инвестиции РВК" (Инфрафонд РВК)</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в УК, предоставление инвестиционного займа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более 75% от объема инвестиционной потребности инфраструктурных компаний, инвестирование средств совместно с частными инвесторами</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компании, оказывающие услуги Инновационным компаниям</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директор Локтев Александр Аркадьевич;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Application@rvcinfra.com</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8" w:name="Par9278"/>
            <w:bookmarkEnd w:id="458"/>
            <w:r>
              <w:rPr>
                <w:rFonts w:ascii="Calibri" w:hAnsi="Calibri" w:cs="Calibri"/>
              </w:rPr>
              <w:t>"Фонд посевных инвестиций РВК" (ФПИ РВК, Фонд)</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Соинвестирование средств совместно с частными инвесторами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75% от объема инвестиционной потребности Инновационной компании в денежных средствах и не более 25000000 рублей на первом раунде</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российские инновационные компании с высоким потенциалом роста</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Телешев Алексей Юрьевич;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E-mail: partner@rvcseed.ru;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сайт: www.rvcseed.ru.</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59" w:name="Par9287"/>
            <w:bookmarkEnd w:id="459"/>
            <w:r>
              <w:rPr>
                <w:rFonts w:ascii="Calibri" w:hAnsi="Calibri" w:cs="Calibri"/>
              </w:rPr>
              <w:t>"Биофармацевтические инвестиции РВК" (Биофонд РВК)</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Биофонд РВК будет инвестировать в сервисные компании кластера и в биотехнологические стартапы</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 более 75% от объема инвестиционной потребности Сервисных компаний и не более 50% от объема инвестиционной потребности Инновационных биофармацевтических компаний</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инновационные биофармацевтические компании и сервисные компании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директор ООО "Биофонд РВК" - Бекетов Егор Владимирович;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info@rvcbio.ru</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60" w:name="Par9295"/>
            <w:bookmarkEnd w:id="460"/>
            <w:r>
              <w:rPr>
                <w:rFonts w:ascii="Calibri" w:hAnsi="Calibri" w:cs="Calibri"/>
              </w:rPr>
              <w:t>АГЕНТСТВО ИПОТЕЧНОГО ЖИЛИЩНОГО КРЕДИТОВАНИЯ (АИЖК)</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Реализация проектов по арендному жилью</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паспорт ипотечного кредитного продукта "АРЕНДНОЕ ЖИЛЬЕ"</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 первого дня процентного периода, следующего за месяцем, в котором была произведена государственная регистрация залога (ипотеки) всех жилых помещений, до даты возврата кредита включительно, должна соответствовать определенным параметрам</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любые заинтересованные организации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заместитель генерального директора ОАО "АИЖК", О.С. Стволинский;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 (495) 775-47-40 (доб. 1394);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oss@ahml.ru</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финансирования проектной и инновационной деятельности "Соинвестирование"</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находится в процессе доработки и утверждения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инвестиции в венчурные фонды на условиях Limited Partnership в объеме от 100 до 300 млн. руб. в каждый, общий объем программы 1500 млн. руб. (могут быть скорректированы по ходу утверждения программы)</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венчурные фонды, инвестирующие в развитие финансовых, строительных и энергосберегающих технологий</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заместитель генерального директора ОАО "АИЖК", О.С. Стволинский;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+7-495-775-47-40 (доб. 1394);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oss@ahml.ru</w:t>
            </w:r>
          </w:p>
        </w:tc>
      </w:tr>
      <w:tr w:rsidR="00703D06">
        <w:tc>
          <w:tcPr>
            <w:tcW w:w="130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61" w:name="Par9312"/>
            <w:bookmarkEnd w:id="461"/>
            <w:r>
              <w:rPr>
                <w:rFonts w:ascii="Calibri" w:hAnsi="Calibri" w:cs="Calibri"/>
              </w:rPr>
              <w:t>РОССИЙСКИЙ ФОНД ТЕХНОЛОГИЧЕСКОГО РАЗВИТИЯ</w:t>
            </w:r>
          </w:p>
        </w:tc>
      </w:tr>
      <w:tr w:rsidR="00703D06">
        <w:tc>
          <w:tcPr>
            <w:tcW w:w="4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Беспроцентные целевые займы на выполнение НИОКР</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Федеральный закон N 127-ФЗ от 23 августа 1996 г.;</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Устав ФГАУ "РФТР"</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тематика НИОКР должна соответствовать приоритетным направлениям научно-технического и технологического развития: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размер чистых активов организации - заявителя должен превышать сумму запрашиваемого займа;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 Заем предоставляется на пять лет</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хоз. общества, осуществляющие научно-техническую и инновационную деятельность и реализующие научно-технические и проектные разработки</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www.rftr.ru, рфтр.рф;</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+ 7 (495) 789 4730;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управляющий директор Мушер Семен Львович;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musher@rftr.ru</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таблиц дана в соответствии с официальным текстом документа.</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62" w:name="Par9330"/>
      <w:bookmarkEnd w:id="462"/>
      <w:r>
        <w:rPr>
          <w:rFonts w:ascii="Calibri" w:hAnsi="Calibri" w:cs="Calibri"/>
        </w:rPr>
        <w:t>Таблица 48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Нефинансовые инструменты и формы поддержки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3798"/>
        <w:gridCol w:w="2381"/>
        <w:gridCol w:w="1871"/>
        <w:gridCol w:w="3515"/>
      </w:tblGrid>
      <w:tr w:rsidR="00703D06">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63" w:name="Par9334"/>
            <w:bookmarkEnd w:id="463"/>
            <w:r>
              <w:rPr>
                <w:rFonts w:ascii="Calibri" w:hAnsi="Calibri" w:cs="Calibri"/>
              </w:rPr>
              <w:t>ГРУППА ВНЕШЭКОНОМБАНКА</w:t>
            </w:r>
          </w:p>
        </w:tc>
      </w:tr>
      <w:tr w:rsidR="00703D06">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64" w:name="Par9335"/>
            <w:bookmarkEnd w:id="464"/>
            <w:r>
              <w:rPr>
                <w:rFonts w:ascii="Calibri" w:hAnsi="Calibri" w:cs="Calibri"/>
              </w:rPr>
              <w:t>"ВЭБ Инжиниринг"</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Проектное управление, экспертиза проектной документации, экспертиза и мониторинг инвестиционных проектов, технологический и финансовый аудит, контроль за целевым и эффективным использованием средств при строительстве объектов, экологический консалтинг и аудит</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соответствие отраслевым компетенциям Компании: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нефте- и газо- перерабатывающая промышленность;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горнодобывающая промышленность;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строительство инфраструктурных объектов;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нефтехимическая, химическая и биотехнологическая промышленность;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производство строительных материалов;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др., относящиеся к списку приоритетных отраслей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ул. Маши Порываевой, д. 7, стр. 2, Москва, 107078, Россия;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телефон: (495) 258-84-20;</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факс: (495) 258-60-64;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электронная почта: info@vebeng.ru</w:t>
            </w:r>
          </w:p>
        </w:tc>
      </w:tr>
      <w:tr w:rsidR="00703D06">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65" w:name="Par9349"/>
            <w:bookmarkEnd w:id="465"/>
            <w:r>
              <w:rPr>
                <w:rFonts w:ascii="Calibri" w:hAnsi="Calibri" w:cs="Calibri"/>
              </w:rPr>
              <w:t>РОСНАНО</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Региональные (1) и Отраслевые (2) Планы (программы) стимулирования спроса на инновационную, в том числе нанотехнологическую, продукцию</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Невесенко Максим Анатольевич;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988-56-03;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Maxim.Nevesenko@rusnano.com;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www.rusnano.com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Лескинен Андрей Викторович;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988-53-88, доб. 1914;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Andrey.Leskinen@rusnano.com;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www.rusnano.com (2)</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Технологическая инфраструктура (наноцентры, технологические инжиниринговые компании)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Титов Руслан Вадимович;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988-53-88, доб. 2329;</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Ruslan.Titov@rusnano.com;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www.rusnano.com</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Формирование кадровой базы наноиндустрии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заявление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постоянной основе</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Яблонскене Наталья Леонидовна;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988-53-88, доб. 1742;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Natalya.Yablonskene@rusnano.com;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www.rusnano.com</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Обеспеч. разработки нормативных док. (стандартов) для наноиндустрии (1) и работа в области развития и совершенствования законодательства в сфере инновационной деятельности (2)</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заявление, 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Ткачук Юрий Григорьевич;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988-53-88, доб. 1347;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Yury.Tkachuk@rusnano.com;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www.rusnano.com (1).</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Качай Алексей Романович;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988-53-88, доб. 1612;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Alexey.Kachay@rusnano.com;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www.rusnano.com (2)</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Сертификация продукции и систем менеджмента в сфере наноиндустрии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заявление, 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Ткачук Юрий Григорьевич;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988-53-88, доб. 1347;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Yury.Tkachuk@rusnano.com;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www.rusnano.com</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Реестр инновационных продуктов, технологий и услуг, рекомендуемых к использованию в РФ</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заявление, необходимо наличие наносоставляющей</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Качай Алексей Романович;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988-53-88, доб. 1612;</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Alexey.Kachay@rusnano.com;</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www.rusnano.com</w:t>
            </w:r>
          </w:p>
        </w:tc>
      </w:tr>
      <w:tr w:rsidR="00703D06">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66" w:name="Par9400"/>
            <w:bookmarkEnd w:id="466"/>
            <w:r>
              <w:rPr>
                <w:rFonts w:ascii="Calibri" w:hAnsi="Calibri" w:cs="Calibri"/>
              </w:rPr>
              <w:t>РФ ТР</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Консультационно-образовательные услуги в области коммерциализации научно-технических разработок</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управляющий директор Мушер Семен Львович;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musher@rftr.ru;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www.rftr.ru, рфтр.рф;</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+ 7(495) 789 4730</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Проведение научно-технической и технологической экспертизы инновационных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заказчик - кредитные организации и институты развития</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управляющий директор Мушер Семен Львович;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musher@rftr.ru;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www.rftr.ru, рфтр.рф;</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7(495) 789 4730</w:t>
            </w:r>
          </w:p>
        </w:tc>
      </w:tr>
      <w:tr w:rsidR="00703D06">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67" w:name="Par9415"/>
            <w:bookmarkEnd w:id="467"/>
            <w:r>
              <w:rPr>
                <w:rFonts w:ascii="Calibri" w:hAnsi="Calibri" w:cs="Calibri"/>
              </w:rPr>
              <w:t>ТПП РФ</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Развитие и совершенствование законодательства в сфере иннов. деятельности, разработка необх. поправок в сущ. законодательство</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инициативе ТПП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Ломаченко Александр Иванович;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(495) 620-01-87;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lomachenko@tpprf.ru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Презентации экономического и инвестиционного потенциала субъектов РФ</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заявкам администраций субъектов РФ</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Ломаченко Александр Иванович;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(495) 620-01-87;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lomachenko@tpprf.ru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"Инвестопроводящая сеть ТПП РФ": оказание содействия разработчикам иннов. и инвест. проектов в поиске инвестора, оказ. содействия инвесторам в подборе инвест. площадки.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заявкам заинтересованных лиц</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Ломаченко Александр Иванович;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(495) 620-01-87;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lomachenko@tpprf.ru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Презентационные сессии инновационных и инвест.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инициативе ТПП РФ и заявкам заинтересованных лиц</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Ломаченко Александр Иванович;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(495) 620-01-87;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lomachenko@tpprf.ru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Выст.-конгрессная деятельность, содействующая международным экономическим связям</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Ломаченко Александр Иванович;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(495) 620-01-87;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lomachenko@tpprf.ru;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Оказание услуг предприятиям, в том числе инновационным: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подготовка и переподготовка кадров, - помощь в патентовании, оформлении товарных знаков;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проведение маркетинговых исследований;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подготовка бизнес-планов;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оценка прав на РИД</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заявкам предприятий, 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Ломаченко Александр Иванович;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(495) 620-01-87;</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lomachenko@tpprf.ru</w:t>
            </w:r>
          </w:p>
        </w:tc>
      </w:tr>
      <w:tr w:rsidR="00703D06">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68" w:name="Par9456"/>
            <w:bookmarkEnd w:id="468"/>
            <w:r>
              <w:rPr>
                <w:rFonts w:ascii="Calibri" w:hAnsi="Calibri" w:cs="Calibri"/>
              </w:rPr>
              <w:t>НИУ ВШЭ</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Экспертно-аналитическая поддержка региональных органов власти/территориальных кластеров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Голанд Михаил Юрьевич, зав. отд. ЧГП в инновационной сфере Института статистических исследований и экономики знаний НИУ ВШЭ;</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mgoland@hse.ru;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8(495) 621-89-16</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Разработка технологических дорожных карт по приоритетным для регионов/кластеров направлениям</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Карасев Олег Игоревич, зам. директора Форсайт-центра Инст. стат. исслед. и экономики знаний НИУ ВШЭ;</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okarasev@hse.ru;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8(495) 628-02-12</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"Упаковка" региональных инвестиционных проектов в соответствии с требованиями институтов развития</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Салун Владимир Савельевич;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заведующий отделом бизнес-проектов Института статистических исследований и экономики знаний НИУ ВШЭ;</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vsalun@hse.ru;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8(495) 772-95-90 (доб. 1543)</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Технологическая экспертиза инвестиционных проектов</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договорной основе</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Соколов Александр Васильевич;</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заместитель директора Института статистических исследований и экономики знаний НИУ ВШЭ;</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sokolov@hse.ru;</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8(495) 628-97-90</w:t>
            </w:r>
          </w:p>
        </w:tc>
      </w:tr>
      <w:tr w:rsidR="00703D06">
        <w:tc>
          <w:tcPr>
            <w:tcW w:w="1156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4"/>
              <w:rPr>
                <w:rFonts w:ascii="Calibri" w:hAnsi="Calibri" w:cs="Calibri"/>
              </w:rPr>
            </w:pPr>
            <w:bookmarkStart w:id="469" w:name="Par9483"/>
            <w:bookmarkEnd w:id="469"/>
            <w:r>
              <w:rPr>
                <w:rFonts w:ascii="Calibri" w:hAnsi="Calibri" w:cs="Calibri"/>
              </w:rPr>
              <w:t>РВК</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Региональные сессии практического консалтинга (РСПК)</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определение даты, требуемого формата с учетом специфики местного бизнеса, обеспечение площадки, аудитории около 35 чел., 15 - 20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Екатерина Петрова, руководитель направления инновационных образовательных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Petrova.es@rusventure.ru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Открытые образовательные программы (школы, семинары, тренинги)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открытые образовательные программы пройдут на территории РФ и США</w:t>
            </w: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Екатерина Петрова, руководитель направления инновационных образовательных проектов (Petrova.es@rusventure.ru)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Профессиональное сообщество менеджеров топ-уровня крупных компаний, отвечающих за научно-исследовательскую деятельность (iR &amp; D Club)</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бесплатно, по согласованию с администрацией Клуба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Филипп Мухин, координатор программ по развитию венчурного рынка (Mukhin.PR@rusventure.ru)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Профессиональное сообщество венчурных инвесторов Российский Венчурный клуб (Russian VC Club)</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бесплатно, по согласованию с администрацией Клуба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Филипп Мухин, координатор программ по развитию венчурного рынка (Mukhin.PR@rusventure.ru)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Проект по расчету и присвоению стартапам ранней стадии, не имеющим регулярного финансового оборота, индекса инвестиционной привлекательности</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Петрова Оксана Андреевна, менеджер инновационных образовательных проектов;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Petrova.OA@rusventure.ru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Рейтинг российских высокотехнологичных быстроразвивающихся компаний "ТехУспех"</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Гейло Сергей Владимирович, менеджер программ развития орг. капитала;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Geylo.SV@rusventure.ru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Проект "Региональный бизнес-катализатор" - тиражирование модели (установочной документации) работы регионального бизнес-катализатора в территориально-отраслевых кластерах (центрах)</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результатам переговоров с управляющей командой ресурса.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 счет средств проекта РВК.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Поддержание работы катализатора - из средств участников катализатора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Абрамов Артур Владимирович, ведущий специалист ОАО "РВК";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abramov.av@rusventure.ru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Проект "Центр технологического предпринимательства вуза" - тиражирование типового решения по созданию инновационного центра (ИЦ) при региональном технологическом вузе/НПО</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результатам переговоров с управляющей командой ресурса.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 счет средств проекта РВК.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Расширение функционала и вывод центра предпринимательства на рабочий уровень - из средств региональных стейкхолдеров</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Абрамов Артур Владимирович, ведущий специалист ОАО "РВК";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abramov.av@rusventure.ru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Информационно-образовательный онлайн-проект LearnIP.ru</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бесплатно</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Абрамов Артур Владимирович, ведущий специалист ОАО "РВК";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abramov.av@rusventure.ru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Онлайн-платформа технологического брокера Venture IP</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результатам переговоров с управляющей командой ресурса</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Абрамов Артур Владимирович, ведущий специалист ОАО "РВК";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abramov.av@rusventure.ru</w:t>
            </w:r>
          </w:p>
        </w:tc>
      </w:tr>
      <w:tr w:rsidR="00703D06">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Проект "Информационный портал территориально-отраслевого кластера"</w:t>
            </w:r>
          </w:p>
        </w:tc>
        <w:tc>
          <w:tcPr>
            <w:tcW w:w="23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базовый функционал - из средств РВК</w:t>
            </w:r>
          </w:p>
        </w:tc>
        <w:tc>
          <w:tcPr>
            <w:tcW w:w="1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c>
          <w:tcPr>
            <w:tcW w:w="35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Уткин Никита Александрович, менеджер ОАО "РВК",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utkin.na@rusventure.ru</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470" w:name="Par9546"/>
      <w:bookmarkEnd w:id="470"/>
      <w:r>
        <w:rPr>
          <w:rFonts w:ascii="Calibri" w:hAnsi="Calibri" w:cs="Calibri"/>
        </w:rPr>
        <w:t>Приложение 9</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471" w:name="Par9548"/>
      <w:bookmarkEnd w:id="471"/>
      <w:r>
        <w:rPr>
          <w:rFonts w:ascii="Calibri" w:hAnsi="Calibri" w:cs="Calibri"/>
          <w:b/>
          <w:bCs/>
        </w:rPr>
        <w:t>РЕЗУЛЬТАТЫ</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ИНВЕНТАРИЗАЦИИ И ОЦЕНКИ ЭФФЕКТИВНОСТИ ДЕЯТЕЛЬНОСТИ</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ОБЪЕКТОВ ДОСТУПНОЙ ИНФРАСТРУКТУРЫ ДЛЯ РАЗМЕЩЕНИЯ</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ПРОИЗВОДСТВЕННЫХ И ИНЫХ ОБЪЕКТОВ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настоящий момент в Смоленской области представлено 277 инвестиционных площадок </w:t>
      </w:r>
      <w:hyperlink w:anchor="Par9555" w:history="1">
        <w:r>
          <w:rPr>
            <w:rFonts w:ascii="Calibri" w:hAnsi="Calibri" w:cs="Calibri"/>
            <w:color w:val="0000FF"/>
          </w:rPr>
          <w:t>&lt;85&gt;</w:t>
        </w:r>
      </w:hyperlink>
      <w:r>
        <w:rPr>
          <w:rFonts w:ascii="Calibri" w:hAnsi="Calibri" w:cs="Calibri"/>
        </w:rPr>
        <w:t xml:space="preserve"> и 18 производственных площадок </w:t>
      </w:r>
      <w:hyperlink w:anchor="Par9556" w:history="1">
        <w:r>
          <w:rPr>
            <w:rFonts w:ascii="Calibri" w:hAnsi="Calibri" w:cs="Calibri"/>
            <w:color w:val="0000FF"/>
          </w:rPr>
          <w:t>&lt;86&gt;</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72" w:name="Par9555"/>
      <w:bookmarkEnd w:id="472"/>
      <w:r>
        <w:rPr>
          <w:rFonts w:ascii="Calibri" w:hAnsi="Calibri" w:cs="Calibri"/>
        </w:rPr>
        <w:t>&lt;85&gt; http://www.smolinvest.com/platform_for_business/grinfilds/.</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73" w:name="Par9556"/>
      <w:bookmarkEnd w:id="473"/>
      <w:r>
        <w:rPr>
          <w:rFonts w:ascii="Calibri" w:hAnsi="Calibri" w:cs="Calibri"/>
        </w:rPr>
        <w:t>&lt;86&gt; http://www.smolinvest.com/platform_for_business/braundf.php.</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важным характеристикам инфраструктуры, особенно для размещения производственных объектов, относится: размер площадки,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 С этой точки зрения к приоритетным площадкам с высоким потенциалом развития можно отнести следующие </w:t>
      </w:r>
      <w:hyperlink w:anchor="Par9575" w:history="1">
        <w:r>
          <w:rPr>
            <w:rFonts w:ascii="Calibri" w:hAnsi="Calibri" w:cs="Calibri"/>
            <w:color w:val="0000FF"/>
          </w:rPr>
          <w:t>(таблица 48)</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Индустриальный парк "Смоленский". Планируется создание парка, приоритетными направлениями деятельности которого станут приборостроение, электротехника, машиностроение. Инвестиционная площадка будет предоставлена в собственность инвестора с аукциона Фондом "РЖС". Проведение аукциона запланировано на 2 квартал 2014 года.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Транспортно-логистический производственный комплекс "Стабна" (ТЛПК "Стабна") </w:t>
      </w:r>
      <w:hyperlink w:anchor="Par9562" w:history="1">
        <w:r>
          <w:rPr>
            <w:rFonts w:ascii="Calibri" w:hAnsi="Calibri" w:cs="Calibri"/>
            <w:color w:val="0000FF"/>
          </w:rPr>
          <w:t>&lt;87&gt;</w:t>
        </w:r>
      </w:hyperlink>
      <w:r>
        <w:rPr>
          <w:rFonts w:ascii="Calibri" w:hAnsi="Calibri" w:cs="Calibri"/>
        </w:rPr>
        <w:t>. Основной целью ТЛПК "Стабна" является создание территории с максимально комфортными условиями для развития производственных и складских мощностей. Данный комплекс предназначен для российских, белорусских и европейских компаний, не имеет региональных аналогов и является мощным центром притяжения для многих предпринимателей, заинтересованных в эффективной работе собственных инвестиций. В настоящий момент действуют условия свободной планировки, в рамках которой каждый будущий участник ТЛПК "Стабна" может получить требуемое ему количество земли для строительства производственного комплекса.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74" w:name="Par9562"/>
      <w:bookmarkEnd w:id="474"/>
      <w:r>
        <w:rPr>
          <w:rFonts w:ascii="Calibri" w:hAnsi="Calibri" w:cs="Calibri"/>
        </w:rPr>
        <w:t>&lt;87&gt; http://www.stabna.ru/.</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Промышленная зона "Рославльская". На юге области, в городе Рославле, в зоне влияния транспортного коридора Север-Юг, сформирована крупная инвестиционная площадка для создания промышленных производств. Ее преимуществом являются близость инженерных коммуникаций и транспортной (автомобильной и железнодорожной) инфраструктуры, отсутствие ограничений по энергоснабжению, обеспеченность трудовыми ресурсами.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Инвестиционная площадка "Аэродром "Северный". Площадка находится рядом с территорией ОАО "Смоленский авиационный завод" на окраине г. Смоленска.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Транспортно-логистический центр "Западные ворота России". Располагается около Стабенского сельского поселения с правой стороны от автодороги М1 "Беларусь".</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Частный индустриальный парк "Ресурс" на базе производственного предприятия ОАО ВНПО "Ресурс". Индустриальный парк позволит привлечь промышленные предприятия малого и среднего бизнеса на территорию предприятия ОАО ВНПО "Ресурс". Однако объемы газоснабжения, водоснабжения и водоотведения покрывают только текущие потребности и для дальнейшего привлечения инвесторов они должны быть серьезно увеличены.</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Индустриальный парк "Сафоново". Инициатором парка является ОАО "Авангард" - ведущее предприятие России по производству крупногабаритных изделий из композиционных материалов. Индустриальный парк ориентирован на реализацию резидентами парка инвестиционных проектов в области производства изделий гражданского композитостроения на базе новых инновационных материалов и технологий.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этого с точки зрения близости к федеральным трассам и возможности подведения требуемых инженерных коммуникаций к приоритетным инвестиционным площадкам также можно отнести следующие: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Инвестиционная площадка "Тишино".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Инвестиционная площадка "Рудня".</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75" w:name="Par9573"/>
      <w:bookmarkEnd w:id="475"/>
      <w:r>
        <w:rPr>
          <w:rFonts w:ascii="Calibri" w:hAnsi="Calibri" w:cs="Calibri"/>
        </w:rPr>
        <w:t>Таблица 48</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476" w:name="Par9575"/>
      <w:bookmarkEnd w:id="476"/>
      <w:r>
        <w:rPr>
          <w:rFonts w:ascii="Calibri" w:hAnsi="Calibri" w:cs="Calibri"/>
        </w:rPr>
        <w:t>Приоритетные площадки для размещения производственных</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объектов инвесторов</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3061"/>
        <w:gridCol w:w="1928"/>
        <w:gridCol w:w="2041"/>
        <w:gridCol w:w="1077"/>
        <w:gridCol w:w="2041"/>
        <w:gridCol w:w="2154"/>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Площадь, га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Подъездные пути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Инженерные коммуникации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Индустриальный парк "Смоленский"</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Дивасовское с/п, в районе деревни Ольша Долгая.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- 380 км, до г. Смоленска - 15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Собственность федерального Фонда содействия развитию жилищного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163,37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 участку примыкает автодорога М1 "Беларусь".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железнодорожных станций: "2-я Ракитня" - 7 км, "Пронино" - 8 км.</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возможность подключения к распределительным сетям от ГВД 6 атм., d = 159 мм к пункту редуцирования газа в д. Дубровка Смоленской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ПС 110 кВ "Пронино" в 7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локальный водозабор на площадке (5 - 6 скважин = 1500 куб. м/сут.)</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производственный комплекс "Стабна"</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д. Стабна.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- 390 км, до г. Смоленска - 17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 участка есть подъезды к трассе М1 "Беларусь".</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комплекс обеспечен всеми необходимыми коммуникациями - электричество, газ, вода, интернет и телефонная связь</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Промышленная зона "Рославльская"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Рославльский район, г. Рославль, Астапковичский переезд.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- 400 км, до г. Смоленска - 104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поселений.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Собственность Смоленской области, не разграничен (распоряжается муниципальное образование "Рославльский район"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253 (126 + 127)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в 500 м от автодороги А-101 "Москва - Бобруйск", в 300 м от окружной автодороги г. Рославля, в 700 м от участка до автодороги "Брянск - Смоленск".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Ж/д ветка не общего пользования примыкает к участку, в 3 км от ж/д ст. Рославль, в 1 км от участка ж/д Смоленск - Рославль</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газопровод высокого давления "Смоленск - Брянск" расположен на участке (0,6 - 1,2 МПа), до 40,0 млн. куб. м в год.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ВЛ ПС "Индустриальная" и ПС "Рославль" ВЛ-380 в и ВЛ 110/35/06 кВ проходят через обе площадки.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Вода: есть артезианские скважины; в 0,9 км от площадки находится водопровод d = 400 мм, до 18 т/куб. м в сутки</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Инвестиционная площадка "Аэродром "Северный"</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Смоленск, ул. Фрунзе, 74.</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- 345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398,5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находится на окраине г. Смоленска, к участку примыкает автодорога</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находится на территории.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в 900 м ЛЭП.</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в 350 м ОАО "СмАЗ" до 7,5 куб. м/ч</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Транспортно-логистический центр "Западные ворота России"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с.п. Стабенское.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- 362 км, до г. Смоленска - 16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91,5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Трасса М1 "Беларусь" примыкает к площадке, железнодорожные пути общего пользования с оборудованной остановочной площадкой в населенном пункте "Стабна" (движение пригородных поездов в этом направлении не осуществляется)</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имеется возможность подключения от ГРС "Жуковская", максимально возможный объем поставки газа - 1200 куб. м/ч, расстояние до ближайшей точки подключения - 2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возможно подключение по III или I категории надежности, но требуется строительство соответствующих ЛЭП, ТП, ПС.</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требуется строительство локальных сооружений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Частный индустриальный парк "Ресурс" на базе производственного предприятия ОАО ВНПО "Ресурс" (браунфилд)</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г. Вязьма, ул. 2-я Бозня.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- 227 км, до г. Смоленска - 167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Частная собственность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39,7</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11 км проходит трасса М1 "Беларусь", автодорога Р132 в направлении г. Калуги и г. Тулы, автодорога Р134 в направлении г. Твери.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территорию участка заведены ППЖД, которые соединяют участок с сортировочной станцией "Вязьма - Брянская" Московской ж/д.</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Вблизи участка расположена узловая станция Вязьма.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ОАО ВНПО "Ресурс" имеет собственный маневровый тепловоз</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осуществляется компанией ООО "Газпром межрегионгаз Смоленск", годовой объем составляет 6 млн. м3.</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осуществлено в виде 2-х цепной воздушной линии от подстанции "Восток" напряжением 110 кВ до понижающей подстанции 110/10 кВ "Графит".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поставку питьевой воды осуществляет компания ООО "Стой Рем Сервис" в объеме 2200 - 3500 куб. м/мес.</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 создании парка вышеуказанные объемы должны быть серьезно увеличены</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Индустриальный парк "Сафоново" ОАО "Авангард" участок N 1</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г. Сафоново, ул. Октябрьская, дом 78.</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- 280 км, до г. Смоленска - 97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Частная собственность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дорога Р134 до трассы М1 "Беларусь" (6 - 7 км.), ж/д пути проходят в 2 км</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есть.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20 МВт.</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25500 куб. м в год</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Инвестиционная площадка "Тишино"</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Сметанинское с/п, северо-восточная окраина д. Тишино.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- 400 км, до г. Смоленска - 30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43,8</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Трасса М1 "Беларусь" примыкает к площадке, ж/д "Смоленск - Витебск" проходит в 1 км от площадки</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имеется возможность подключения от ГРС "Гнездово", максимально возможный объем поставки газа - 1500 куб. м/ч, расстояние до ближайшей точки подключения - 0,5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возможно подключение по III или I категории надежности, но требуется строительство соответствующих ЛЭП, ТП, ПС.</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необходимо строительство локальных сооружений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Инвестиционная площадка "Рудня"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Руднянский район, Чистиковское с/п, вблизи д. Шеровичи и д. Дворище.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г. Москвы - 368 км, до г. Смоленска - 8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Собственность Смоленской области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1005</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 участков от 1,7 га до 118,3 га)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 площадке примыкают автодорога А141 "Орел - Рудня" и ж/д "Смоленск - Витебск"</w:t>
            </w:r>
          </w:p>
        </w:tc>
        <w:tc>
          <w:tcPr>
            <w:tcW w:w="21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газопровод высокого давления (d = 325 мм).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возможно подключение по III или I категории надежности, но требуется строительство соответствующих ЛЭП, ТП, ПС.</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необходимо строительство локальных сооружений</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настоящий момент важным сдерживающим фактором развития инфраструктуры инвестиционных площадок является наличие свободных электрических мощностей. Наибольшее количество действующих промышленных производств разместилось в Ярцевском и Гагаринском районах Смоленской области. Эти же районы являются наиболее перспективными в плане привлечения инвестиций, но в этих районах наиболее остро встает вопрос свободных электрических мощностей. Например, в Гагаринском районе ООО "ЭГГЕР ДРЕВПРОДУКТ ГАГАРИН" выбрал все существующие мощности по подключению к электричеству и заинтересован в получении всех возникающих дополнительных мощностей. При этом Смоленская энергосистема является избыточной в части производства электроэнергии. Обладая резервом мощности, энергетический комплекс имеет возможность поставлять излишки электрической энергии на оптовый рынок. Ежегодно смоленская энергосистема производит свыше 20 млрд. кВт.ч электроэнергии. До 80 процентов вырабатываемой электроэнергии поставляется за пределы Смоленской области. Восточные районы Смоленской области, являющиеся наиболее перспективными регионами в плане привлечения инвестиций, не могут воспользоваться избытком смоленской энергосистемы по причине загруженности электросетевого оборудования на границе с Московской областью. Существующие сети 110 кВ работают на пределе своих возможностей. Анализ заявок на технологическое присоединение показывает, что ожидаемое увеличение суммарной потребляемой мощности в восточных районах Смоленской области в краткосрочной перспективе составит около 60 МВА. Снизит негативное влияние данных факторов на инвестиционную привлекательность области ввод ВЛ 220 кВ Восток-Дровнино, предусмотренный в проекте схемы и программы развития Единой энергетической системы России на 2014 - 2020 годы в 2015 году.</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важным фактором для размещения производственных объектов является размер площадки (например, не менее 30 га).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вышеозначенных ограничений проведены инвентаризация (</w:t>
      </w:r>
      <w:hyperlink w:anchor="Par9694" w:history="1">
        <w:r>
          <w:rPr>
            <w:rFonts w:ascii="Calibri" w:hAnsi="Calibri" w:cs="Calibri"/>
            <w:color w:val="0000FF"/>
          </w:rPr>
          <w:t>таблицы 49</w:t>
        </w:r>
      </w:hyperlink>
      <w:r>
        <w:rPr>
          <w:rFonts w:ascii="Calibri" w:hAnsi="Calibri" w:cs="Calibri"/>
        </w:rPr>
        <w:t xml:space="preserve"> - </w:t>
      </w:r>
      <w:hyperlink w:anchor="Par10198" w:history="1">
        <w:r>
          <w:rPr>
            <w:rFonts w:ascii="Calibri" w:hAnsi="Calibri" w:cs="Calibri"/>
            <w:color w:val="0000FF"/>
          </w:rPr>
          <w:t>51</w:t>
        </w:r>
      </w:hyperlink>
      <w:r>
        <w:rPr>
          <w:rFonts w:ascii="Calibri" w:hAnsi="Calibri" w:cs="Calibri"/>
        </w:rPr>
        <w:t>) и оценка доступной инфраструктуры для размещения производственных и иных объектов инвесторов (</w:t>
      </w:r>
      <w:hyperlink w:anchor="Par10479" w:history="1">
        <w:r>
          <w:rPr>
            <w:rFonts w:ascii="Calibri" w:hAnsi="Calibri" w:cs="Calibri"/>
            <w:color w:val="0000FF"/>
          </w:rPr>
          <w:t>таблицы 52</w:t>
        </w:r>
      </w:hyperlink>
      <w:r>
        <w:rPr>
          <w:rFonts w:ascii="Calibri" w:hAnsi="Calibri" w:cs="Calibri"/>
        </w:rPr>
        <w:t xml:space="preserve"> - </w:t>
      </w:r>
      <w:hyperlink w:anchor="Par11099" w:history="1">
        <w:r>
          <w:rPr>
            <w:rFonts w:ascii="Calibri" w:hAnsi="Calibri" w:cs="Calibri"/>
            <w:color w:val="0000FF"/>
          </w:rPr>
          <w:t>54</w:t>
        </w:r>
      </w:hyperlink>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77" w:name="Par9692"/>
      <w:bookmarkEnd w:id="477"/>
      <w:r>
        <w:rPr>
          <w:rFonts w:ascii="Calibri" w:hAnsi="Calibri" w:cs="Calibri"/>
        </w:rPr>
        <w:t>Таблица 49</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478" w:name="Par9694"/>
      <w:bookmarkEnd w:id="478"/>
      <w:r>
        <w:rPr>
          <w:rFonts w:ascii="Calibri" w:hAnsi="Calibri" w:cs="Calibri"/>
        </w:rPr>
        <w:t>Инвестиционные площадки (гринфилд) с категорией земель</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промышленности/населенных пунктов/запаса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(федеральная/областная/муниципальная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собственность/собственность не разграничена)</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077"/>
        <w:gridCol w:w="2268"/>
        <w:gridCol w:w="2098"/>
        <w:gridCol w:w="226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Номер инвест. площадки </w:t>
            </w:r>
            <w:hyperlink w:anchor="Par9866" w:history="1">
              <w:r>
                <w:rPr>
                  <w:rFonts w:ascii="Calibri" w:hAnsi="Calibri" w:cs="Calibri"/>
                  <w:color w:val="0000FF"/>
                </w:rPr>
                <w:t>&lt;88&gt;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Комментарий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67-02-32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Степаниковское с/п, д. Тюхменево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123</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примыкает автодорога (твердое асфальтобетонное покрытие), подъездная дорога (покрытие ПГС).</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ж/д путей 1,8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проходит по участку.</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67-02-36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г. Вязьма, в районе 227 км автодороги М1 "Москва - Минск"</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примыкает к трассе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имеется возможность подключения инженерных коммуникаций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67-03-10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Гагаринский район, вдоль автодороги М1 "Беларусь", 178 км, справа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запаса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высокого давления в 200 м (d = 90 мм).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через участок проходит линия ЛЭП 35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строительства дороги к участку за счет бюджета муниципального образования или областного бюджета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67-04-09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Доброминское с/п, 800 м по направлению на юго-восток от д. Суборовка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114,4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площадка находится в 50 метрах от автодороги "Глинка - Ромоданово"</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67-10-25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Кардымовский район, деревня Заборье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запаса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грунтовые дороги к участку</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6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500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67-14-01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Починковский район, д. Денисово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двухполосная грунтовая дорога. Московская ж/д на расстоянии 1,5 км от участка, частная ж/д ветка на расстоянии 0,1 км от участка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100 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50 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в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67-15-02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Рославльский район, г. Рославль, район ЗАО "РААЗ АМО ЗИЛ"</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асфальтированная дорога 300 м до автомагистрали Москва - Ивацевичи, подъездные пути от основной ж/д ветки в 500 м от участка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высокого давления в 300 м от площадки.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ПС "Рославль" - около 2 км от площадки, ВЛ 110/35 кВ проходит через площадку.</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городской водозабор в 1,5 км от площадки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67-15-03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Рославльский район, г. Рославль, Астапковичский переезд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в 500 м от автомагистрали Москва - Ивацевичи.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Проложена железнодорожная ветка на расстоянии 500 м от основного ж/д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- 1,5 км от газопровода "Смоленск - Брянск".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ПС "Индустриальная" 110/35/6.</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- 2 км от артезианской скважины "Дубинин луг", водонапорная 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мелкого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водоснабжения проработать вопрос создания санитарно-защитной зоны</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67-20-01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Темкинский район, Селенское сельское поселение, ур. Карпово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3 км от участка проселочная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ЛЭП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подъездных путей.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строительства дороги к участку за счет бюджета муниципального образования или областного бюджета.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67-22-01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Хиславичский район, п. Хиславичи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 участка идут 2 грунтовых дороги до автодороги "Хиславичи -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- 420 м3/час ОАО "Газпром газораспределение Смоленск".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- 60 и 180 КВА электрические сети "Южные".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- 11,8 тыс. л/час муниципальное предприятие ЖКХ</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мелкого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Близость к границе с Белоруссией и готовые инженерные коммуникации повышают инвестиционный потенциал участка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67-23-01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Холм-Жирковский район, Канютинское сельское поселение, ст. Канютино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асфальтированная дорога "Ярцево - Холм-Жирковский - Вязьма".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2 км проходит железная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ЛЭП-35 ОАО "МРСК Центра" Смоленскэнерго</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мелкого и среднего бизнеса, в том числе из Тверской области.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67-24-04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Шумячский район, 420 км автодороги Москва - Малоярославец - Рославль - граница Республики Беларусь, около д. Понятовка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с участком проходят автотрассы "Москва - Малоярославец - Рославль" до границы с республикой Беларусь, "Ершичи - Шумячи - Хиславичи".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Железнодорожная станция "Понятовка" в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есть. Электроснабжение - есть.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67-25-01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Ярцевский район, г. Ярцево, ул. Мичурина, 100</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грунтовая двухполосная 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есть.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ЛЭП 110 кВ, 10 кВ, мощность 200 КВА.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г. Сафоново, ул. Октябрьская, рядом с территорией ОАО "Авангард"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дорога Р134 до трассы М1 "Беларусь" (6 - 7 км), ж/д пути проходят в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имеется возможность подключения инженерных коммуникаций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электроснабжения уточнить наличие свободных электрических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79" w:name="Par9866"/>
      <w:bookmarkEnd w:id="479"/>
      <w:r>
        <w:rPr>
          <w:rFonts w:ascii="Calibri" w:hAnsi="Calibri" w:cs="Calibri"/>
        </w:rPr>
        <w:t>&lt;88&gt; http://www.smolinvest.com/platform_for_business/grinfilds/.</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80" w:name="Par9868"/>
      <w:bookmarkEnd w:id="480"/>
      <w:r>
        <w:rPr>
          <w:rFonts w:ascii="Calibri" w:hAnsi="Calibri" w:cs="Calibri"/>
        </w:rPr>
        <w:t>Таблица 50</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Инвестиционные площадки (гринфилд) с категорией земель</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сельскохозяйственного назначения/лесного фонда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(федеральная/областная/муниципальная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собственность/собственность не разграничена) </w:t>
      </w:r>
      <w:hyperlink w:anchor="Par9876" w:history="1">
        <w:r>
          <w:rPr>
            <w:rFonts w:ascii="Calibri" w:hAnsi="Calibri" w:cs="Calibri"/>
            <w:color w:val="0000FF"/>
          </w:rPr>
          <w:t>&lt;*&gt;</w:t>
        </w:r>
      </w:hyperlink>
    </w:p>
    <w:p w:rsidR="00703D06" w:rsidRDefault="00703D06">
      <w:pPr>
        <w:widowControl w:val="0"/>
        <w:autoSpaceDE w:val="0"/>
        <w:autoSpaceDN w:val="0"/>
        <w:adjustRightInd w:val="0"/>
        <w:spacing w:after="0" w:line="240" w:lineRule="auto"/>
        <w:jc w:val="center"/>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81" w:name="Par9876"/>
      <w:bookmarkEnd w:id="481"/>
      <w:r>
        <w:rPr>
          <w:rFonts w:ascii="Calibri" w:hAnsi="Calibri" w:cs="Calibri"/>
        </w:rPr>
        <w:t>&lt;*&gt; Для рассмотренных инвестиционных площадок рекомендуется:</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оценить перспективы создания агротехнопарков;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оценить возможность перевода участка в категорию земель промышленности в случае наличия благоприятных факторов способствующих привлечению инвесторов.</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134"/>
        <w:gridCol w:w="2268"/>
        <w:gridCol w:w="2098"/>
        <w:gridCol w:w="226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Номер инвест. площадки </w:t>
            </w:r>
            <w:hyperlink w:anchor="Par10194" w:history="1">
              <w:r>
                <w:rPr>
                  <w:rFonts w:ascii="Calibri" w:hAnsi="Calibri" w:cs="Calibri"/>
                  <w:color w:val="0000FF"/>
                </w:rPr>
                <w:t>&lt;89&gt;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Категория земель</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Комментарий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Кайдаковское с/п, в районе дер. Батищево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автодороги - 400 м (твердое асфальтобетонное покрытие), подъездная дорога (покрытие ПГС), до ж/д путей 150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100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Заводское с/п, в районе ур. Малое Петрово, ур. Старое Жуково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примыкает 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20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проработать возможность включения участка в программы развития газификации ОАО "Газпром"</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Заводское с/п, в районе дер. Большие Лопатки, дер. Малые лопатки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на участке автодорога (с твердым покрытием), подъездные дороги (с покрытием ПГС)</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25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Ермолинское с/п, в районе дер. Гаврилки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примыкает автодорога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25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Электричество в 1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Тумановское с/п, в районе дер. Коробово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участку проходит автодорога (с твердым покрытием) и подъездные дороги (с покрытием ПГС)</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32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67-03-01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Гагаринский район, с/п Серго-Ивановское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ЛЭП 35 кВ в 1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возможно освоение собственной артезианской скважины, глубина залегания грунтовых вод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подъездных путей.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строительства дороги к участку за счет бюджета муниципального образования или областного бюджета.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в 1500 м по направлению на северо-запад от д. Добромино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186,7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железная дорога проходит в 1,5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450 м по направлению на юго-восток от 546 км ж/д</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железная дорога проходит в 0,5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67-04-08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Доброминское с/п, примыкает к д. Галеевка с восточной стороны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56,15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площадка находится в 50 метрах от автодороги "Глинка - Ромоданово"</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ТсОО "Приднепровье"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1458,2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расстояние до железной станции в с. Глинка 10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67-05-07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ур. Лавное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примыкает автодорога Пржевальское - Бакланово с песчано-гравийным покрытием, на расстоянии 2 км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67-05-08</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"Совхоз-техникум"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3339,45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автодорога на расстоянии 3 км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67-05-09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500 м южнее д. Плаи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автодорога на расстоянии 5 км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67-05-10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восточнее д. Петровское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автодорога в непосредственной близости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67-05-16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на восточном берегу оз. Дго, севернее д. Рыковщина на расстоянии 700 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36,04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автодорога в непосредственной близости от пос. Пржевальское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67-09-01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Ершичский район, с. Ворга, в радиусе 1 - 5 км к востоку, юго-востоку и югу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 км до автодороги Ершичи - Рославль (асфальт), сезонный режим движения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67-10-01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Кардымовский район, в 1,5 км северо-западнее д. Некисово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30,85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трасса М1 "Беларусь" в 17 км, Смоленск - Зубцово в 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Ж/д станция Кардымово в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высокого давления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подъездных путей.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67-10-17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Кардымовский район, д. Каменка, 1000 м правее автотрассы Беларусь, поворот на Духовщину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трасса М1 "Беларусь" в 1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есть возможность подключения.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есть.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67-18-06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700 м севернее д. Глущенки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автодорога с грунтовым покрытием проходит по границе участка и примыкает к трассе М1 "Беларусь" - 0,5 км, автодорога А141 "Орел - Рудня" в 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среднего давления в 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67-18-12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Стабенское с/п, западнее д. Пениснарь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автодорога с грунтовым покрытием проходит по границе участка, трасса М1 "Беларусь" в непосредственной близости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имеется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обеспечения электроснабжения.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67-18-13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Стабенское с/п, восточнее д. Замощье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автодорога М1 "Беларусь" примыкает к участкам N 2 - N 5, автодорога "Смоленск - Жуково - Самолюбово" в 1,5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три ветки ГВД проходит вдоль территории участка (диаметр труб: 1200 - 1400 мм).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Имеется возможность подключения от ГРС "Жуково", максимально возможный объем поставки газа - 2000 м3/ч, расстояние до ближайшей точки подключения - 1,2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возможно подключение по III или I категории надежности, но требуется строительство соответствующих ЛЭП, ТП, ПС</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67-18-20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с/п Пригорское, д. Ковалевка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 участку примыкает автодорога А141 "Орел - Рудня", автодорога М1 "Беларусь" в 24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имеется возможность подключения от ГРС "Смоленск".</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возможно подключение по III или I категории надежности, но требуется строительство соответствующих ЛЭП, ТП, ПС</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67-18-36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Вязгинское с/п восточнее д. Сыр-Липки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границе участка идет асфальтированная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67-18-37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Вязгинское с/п, д. Холковичи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 и подъездных путей.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67-18-40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Волоковское с/п, д. Орловка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 и подъездных путей.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67-18-99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Корохоткинское с/п, д. Понасково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ближайшей автодороги - 1,5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д. Ковши - 3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4,5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67-17-02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южнее деревни Максимово, в непосредственной близости к г. Сафоново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300 м от участка объездная дорога "Максимово - Петрово" с прямым сообщением с трассой М1 "Беларусь".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 2 км на север от участка - железная дорога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по границе проходит газопровод высокого давления.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2 км находится производственная база межрайонных электрических сетей, максимальная мощность - 110 кВ.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в 600 м от участка расположен Плещеевский водозабор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67-21-04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Угранский район, в 26 км северо-восточнее п. Угра, южнее д. Слободка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лесного фонда (780,7 га), земли сельскохоз. назначения (219,3 га)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с участком в 1 км автодорога "Вязьма - Калуга".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 участку ведет грунтовая дорога в 4 км до ж/д ветки от станции Угра до д. Якимцево, где имеются земельное полотно под железнодорожный путь (29 км), трубопереезды и мосты. Рельсы и шпалы отсутствуют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ТП расположена в непосредственной близости от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67-24-05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Шумячский район, автодорога Москва - Малоярославец - Рославль - граница Республики Беларусь, около п. Шумовка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с участком проходят автотрассы "Москва - Малоярославец - Рославль" до границы с республикой Беларусь, "Ершичи - Шумячи - Хиславичи".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Железнодорожная станция "Понятовка" в 6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есть.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есть.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есть</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67-25-20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Ярцевский район, западнее д. Суетово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с участком грунтовая дорога до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ГВД проходит по южной границе участка.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ЛЭП 10 кВ проходит по южной стороне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наличия свободных электрических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82" w:name="Par10194"/>
      <w:bookmarkEnd w:id="482"/>
      <w:r>
        <w:rPr>
          <w:rFonts w:ascii="Calibri" w:hAnsi="Calibri" w:cs="Calibri"/>
        </w:rPr>
        <w:t>&lt;89&gt; http://www.smolinvest.com/platform_for_business/grinfilds/.</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83" w:name="Par10196"/>
      <w:bookmarkEnd w:id="483"/>
      <w:r>
        <w:rPr>
          <w:rFonts w:ascii="Calibri" w:hAnsi="Calibri" w:cs="Calibri"/>
        </w:rPr>
        <w:t>Таблица 51</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484" w:name="Par10198"/>
      <w:bookmarkEnd w:id="484"/>
      <w:r>
        <w:rPr>
          <w:rFonts w:ascii="Calibri" w:hAnsi="Calibri" w:cs="Calibri"/>
        </w:rPr>
        <w:t>Инвестиционные площадки, находящиеся в частной собственности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54"/>
        <w:gridCol w:w="1134"/>
        <w:gridCol w:w="2098"/>
        <w:gridCol w:w="2608"/>
        <w:gridCol w:w="1077"/>
        <w:gridCol w:w="2268"/>
        <w:gridCol w:w="2098"/>
        <w:gridCol w:w="2268"/>
      </w:tblGrid>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N п/п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Номер инвест. площадки </w:t>
            </w:r>
            <w:hyperlink w:anchor="Par10475" w:history="1">
              <w:r>
                <w:rPr>
                  <w:rFonts w:ascii="Calibri" w:hAnsi="Calibri" w:cs="Calibri"/>
                  <w:color w:val="0000FF"/>
                </w:rPr>
                <w:t>&lt;90&gt;</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Расположение</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Категория земель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Площадь, га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Подъездные пути</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Инженерные коммуникации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Комментарий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Степаниковское с/п, в районе дер. Пыжовка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примыкает автодорога (твердое асфальтобетонное покрытие).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ж/д путей 100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1,2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ВЛ проходит по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67-02-31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Кайдаковское сельское поселение, дер. Южная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примыкает автодорога (твердое асфальтобетонное покрытие).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ж/д путей 100 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примыкает к участку.</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примыкает к участку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67-11-14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 район, западнее д. Буда, 454 км автодороги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асфальтированная дорога 2 км примыкает к трассе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ВЛ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67-11-15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 район, восточнее дер. Зюзьки, 445 км + 895 м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асфальтированная дорога 2 км примыкает к трассе М1 "Беларусь".</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Два ж/д тупика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ВЛ 10 кВ в 50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67-02-16</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в районе деревень Кокорево, Сакулино, Коммуна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247,9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автомобильная дорога с твердым покрытием, возможно строительство ветки до основной железной дороги около 1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есть возможность подключения.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67-03-02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Гагаринский район, южнее г. Гагарина, слева и справа от автодороги М1 "Беларусь"</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среднего давления в 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через участок проходит линия ЛЭП 10 и 35 кВ.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водозабор находится на расстоянии 3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подъездных путей.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строительства дороги к участку за счет бюджета муниципального образования или областного бюджета.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67-10-22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Кардымовский район, д. Шокино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62,06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асфальтированная дорога к участку.</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Железная дорога в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по участку идет газопровод высокого давления.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500 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в 500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67-11-04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 район, на западе д. Красная Горка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163,7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примыкает к полосе отвода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высокого давления.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100 м ЛЭП 10 кВ.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в 100 м водонапорная 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67-11-05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 район, севернее д. Буда</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примыкает к полосе отвода трассы М1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высокого давления.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100 м ЛЭП 10 кВ.</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в 100 м водонапорная башня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67-17-01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севернее деревни Бараново, на перекрестке а/д М1 и об. дор. г. Сафоново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перекресток автомагистрали М1 "Беларусь" (без ограничений 4 полосы) и объездной дороги г. Сафоново.</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Ж/д ветка от ж/д магистрали Москва - Минск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есть возможность подключения.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есть возможность подключения.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67-17-05</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Зимницкое с/п</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1636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примыкает к трассе М1 "Беларусь", на территории густая сеть проселочных дорог (дороги находятся в удовлетворительном состоянии).</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 территории проходят железнодорожные пути РАО ЖД МЖД "Смоленский отдел"</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есть возможность подключения.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есть возможность подключения.</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дер. Жуково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асфальтовое покрытие до границы участка, рядом проходит дорога до г. Смоленска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по границе участка.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есть возможность подключения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с/п Пригорское, д. Шабаново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асфальтовое покрытие, участок граничит с автомагистралью Витебск - Брянск и окружной дорогой на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среднего давления в 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67-18-04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с/п Пригорское, д. Шабаново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31,65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асфальтовое покрытие, участок граничит с автомагистралью Витебск - Брянск и окружной дорогой на Смоленск</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газопровод среднего давления в 500 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по границе участка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67-18-24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северо-восточнее д. Жуково на расстоянии 2500 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располагается между двух автодорог "Смоленск - Жуково - Сыр-Липки" и "Стабна - Мазальцево" (двухполосные, асфальтированные)</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возможно подключение.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возможно подключение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67-18-29</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Михновское сельское поселение, севернее дер. Лубня</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с участком асфальтированная дорога Р134</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12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ВЛ 110 кВ "Талашкино" в 0,5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локальный водозабор на площадке (5 - 6 скважин = 1500 м3/сут.)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водоснабжения проработать вопрос создания санитарно-защитной зоны</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67-18-30</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Пригорское сельское поселение, северо-восточнее дер. Селифонов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 участку примыкает окружная дорога А141 (объезд г. Смоленска).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Ж/д станция "Бочаровщина" в 0,5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6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ПС 110 кВ "Талашкино" в 6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локальный водозабор на площадке (5 - 6 скважин = 1500 м3/сут.)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водоснабжения проработать вопрос создания санитарно-защитной зоны</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67-12-01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 район, Каблуковское с/п, 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автодороги А141 "Орел - Витебск" 20 км, до асфальтированной дороги 3,5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3,5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300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67-12-02</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 район, Каблуковское с/п, 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автодороги А141 "Орел - Витебск" 23 км, до асфальтированной дороги 2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2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200 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67-12-03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 район, Каблуковское с/п, урочище Белики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 автодороги А141 "Орел - Витебск" 22 км, до асфальтированной дороги 3,5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 5 км.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 2 км</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участок будет интересен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малого и среднего бизнеса</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67-12-07</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 район, д. Скреплево, д. Носково, д. Бурхово</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рядом с участком автодорога "Монастырщина - Мстиславль (Беларусь)"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возможно подключение.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возможно подключение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67-21-03</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Угранский район, Великопольевское сельское поселение, д. Луги</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47,8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грунтовая дорога рядом с участком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ЛЭП 10 кВ</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tc>
      </w:tr>
      <w:tr w:rsidR="00703D06">
        <w:tc>
          <w:tcPr>
            <w:tcW w:w="4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67-27-01</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Смоленск, Рославльское шоссе, 7-ой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назначения/населенных пунктов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автодорога с твердым покрытием.</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Ж/д станция в 10 км</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газоснабжение - возможно подключение.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Электроснабжение - возможно подключение.</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Водоснабжение - возможен локальный водозабор на площадке</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возможность привлечь инвестора крупного и среднего бизнеса.</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Проработать возможность включения необходимых объектов электроснабжения в инвестиционные программы филиала ОАО "МРСК Центра" - "Смоленскэнерго", ОАО "ФСК ЕЭС", уточнить наличие свободных электр. мощностей.</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газоснабжения уточнить наличие ГРП.</w:t>
            </w:r>
          </w:p>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Для водоснабжения проработать вопрос создания санитарно-защитной зоны</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85" w:name="Par10475"/>
      <w:bookmarkEnd w:id="485"/>
      <w:r>
        <w:rPr>
          <w:rFonts w:ascii="Calibri" w:hAnsi="Calibri" w:cs="Calibri"/>
        </w:rPr>
        <w:t>&lt;90&gt; http://www.smolinvest.com/platform_for_business/grinfilds/.</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86" w:name="Par10477"/>
      <w:bookmarkEnd w:id="486"/>
      <w:r>
        <w:rPr>
          <w:rFonts w:ascii="Calibri" w:hAnsi="Calibri" w:cs="Calibri"/>
        </w:rPr>
        <w:t>Таблица 52</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487" w:name="Par10479"/>
      <w:bookmarkEnd w:id="487"/>
      <w:r>
        <w:rPr>
          <w:rFonts w:ascii="Calibri" w:hAnsi="Calibri" w:cs="Calibri"/>
        </w:rPr>
        <w:t>Оценка инвестиционных площадок (гринфилд) с категорией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земель промышленности/населенных пунктов/запаса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(федеральная/областная/муниципальная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собственность/собственность не разграничена)</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098"/>
        <w:gridCol w:w="1247"/>
        <w:gridCol w:w="2608"/>
        <w:gridCol w:w="1191"/>
        <w:gridCol w:w="1077"/>
        <w:gridCol w:w="1304"/>
        <w:gridCol w:w="1077"/>
        <w:gridCol w:w="2098"/>
        <w:gridCol w:w="2041"/>
        <w:gridCol w:w="1757"/>
        <w:gridCol w:w="1928"/>
        <w:gridCol w:w="907"/>
        <w:gridCol w:w="1134"/>
      </w:tblGrid>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к районному центру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Категория земель</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ж/д путей</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Электроснабжение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Газоснабжение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Водоснабжение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Оценка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Номер инвест. площадки </w:t>
            </w:r>
            <w:hyperlink w:anchor="Par10681" w:history="1">
              <w:r>
                <w:rPr>
                  <w:rFonts w:ascii="Calibri" w:hAnsi="Calibri" w:cs="Calibri"/>
                  <w:color w:val="0000FF"/>
                </w:rPr>
                <w:t>&lt;91&gt;</w:t>
              </w:r>
            </w:hyperlink>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Степаниковское с/п, д. Тюхменево</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123</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(проходит по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(проходит по участку)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67-02-32</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г. Вязьма, в районе 227 км автодороги М1 "Москва - Минск"</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67-02-36</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Гагаринский район, вдоль автодороги М1 "Беларусь", 178 км, справа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запаса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(через участок проходит линия ЛЭП 35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(ГВД в 200 м d = 90 мм)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67-03-10</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Доброминское с/п, 800 м по направлению на юго-восток от д. Суборовка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114,4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67-04-09</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Кардымовский район, деревня Заборье</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запаса</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500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6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67-10-25</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Починковский район, д. Денисово</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50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100 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50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67-14-01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Рославльский район, г. Рославль, район ЗАО "РААЗ АМО ЗИЛ"</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(ВЛ 110/35 кВ проходит через площадку)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(ГВД в 300 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(городской водозабор в 1,5 км от площадки)</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67-15-02</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Рославльский район, г. Рославль, Астапковичский переезд</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(ПС "Индустриальная" 110/35/6)</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1,5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 км от артезианской скважины "Дубинин луг", водонапорная башня)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67-15-03</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Темкинский район, Селенское сельское поселение, ур. Карпово</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(ЛЭП 10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67-20-01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Хиславинский район, п. Хиславичи</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(60 и 180 КВА электрические сети "Южные")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(420 м3/час ОАО "Газпром газораспределение Смоленск")</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(11,8 тыс. л/час муниципальное предприятие ЖКХ)</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67-22-01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Холм-Жирковский район, Канютинское сельское поселение, ст. Канютино</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(ЛЭП-35 ОАО "МРСК Центра" Смоленскэнерго)</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67-23-01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Шумячский район, 420 км автодороги Москва - Малоярославец - Рославль - граница Республики Беларусь, около д. Понятовка</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67-24-04</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Ярцевский район, г. Ярцево, ул. Мичурина, 100</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(ЛЭП 110 кВ, 10 кВ, мощность 200 КВА)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67-25-01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г. Сафоново, ул. Октябрьская, рядом с территорией ОАО "Авангард"</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(20 Мвт)</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(25500 куб. м в год)</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нет</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88" w:name="Par10681"/>
      <w:bookmarkEnd w:id="488"/>
      <w:r>
        <w:rPr>
          <w:rFonts w:ascii="Calibri" w:hAnsi="Calibri" w:cs="Calibri"/>
        </w:rPr>
        <w:t>&lt;91&gt; http://www.smolinvest.com/platform_for_business/grinfilds/.</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89" w:name="Par10683"/>
      <w:bookmarkEnd w:id="489"/>
      <w:r>
        <w:rPr>
          <w:rFonts w:ascii="Calibri" w:hAnsi="Calibri" w:cs="Calibri"/>
        </w:rPr>
        <w:t>Таблица 53</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Оценка инвестиционных площадок (гринфилд) с категорией</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земель сельскохозяйственного назначения/лесного фонда</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(федеральная/областная/муниципальная</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собственность/собственность не разграничена)</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098"/>
        <w:gridCol w:w="1417"/>
        <w:gridCol w:w="2608"/>
        <w:gridCol w:w="1134"/>
        <w:gridCol w:w="1077"/>
        <w:gridCol w:w="1304"/>
        <w:gridCol w:w="1077"/>
        <w:gridCol w:w="2098"/>
        <w:gridCol w:w="2041"/>
        <w:gridCol w:w="1757"/>
        <w:gridCol w:w="1928"/>
        <w:gridCol w:w="907"/>
        <w:gridCol w:w="1134"/>
      </w:tblGrid>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к районному центру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Категория земель</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ж/д путей</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Электроснабжение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Газоснабжение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Водоснабжение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Оценка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Номер инвест. площадки </w:t>
            </w:r>
            <w:hyperlink w:anchor="Par11095" w:history="1">
              <w:r>
                <w:rPr>
                  <w:rFonts w:ascii="Calibri" w:hAnsi="Calibri" w:cs="Calibri"/>
                  <w:color w:val="0000FF"/>
                </w:rPr>
                <w:t>&lt;92&gt;</w:t>
              </w:r>
            </w:hyperlink>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Кайдаковское с/п, в районе дер. Батищево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100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67-02-23</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Заводское с/п, в районе ур. Малое Петрово, ур. Старое Жуково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(25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(ВЛ проходит по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20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67-02-25</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Заводское с/п, в районе дер. Большие Лопатки, дер. Малые Лопатки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(11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(ВЛ проходит по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25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67-02-26</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Ермолинское с/п, в районе дер. Гаврилки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1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25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67-02-27</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Тумановское с/п, в районе дер. Коробово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(13 до Новодугино, 50 до Вязьмы)</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(ВЛ проходит по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32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67-02-28</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Гагаринский район, с/п Серго-Ивановское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(24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(ЛЭП 35 кВ в 1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(возможно освоение собственной артезианской скважины)</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67-03-01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в 1500 м по направлению на северо-запад от д. Добромино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186,7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450 м по направлению на юго-восток от 546 км ж/д</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67-04-02</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Доброминское с/п, примыкает к д. Галеевка с восточной стороны</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56,15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67-04-08</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Глинковский район, ТсОО "Приднепровье"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1458,2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67-04-10</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ур. Лавное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67-05-07</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"Совхоз-техникум"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3339,45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67-05-08</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500 м южнее д. Плаи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67-05-09</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восточнее д. Петровское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(30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32,2</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67-05-10</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Демидовский район, на восточном берегу оз. ДГО, севернее д. Рыковщина на расстоянии 700 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(35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36,04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67-05-16</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Ершичский район, с. Ворга, в радиусе 1 - 5 км к востоку, юго-востоку и югу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лесного фонда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224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67-09-01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Кардымовский район, в 1,5 км северо-западнее д. Некисово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30,85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(ГВД)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67-10-01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Кардымовский район, д. Каменка, 1000 м правее автотрассы Беларусь, поворот на Духовщину</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(14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30,05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67-10-17</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700 м севернее д. Глущенки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(по границе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(ГСД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67-18-06</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Стабенское с/п, западнее д. Пенеснарь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(15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67-18-12</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Стабенское с/п, восточнее д. Замощье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(возможность подключения от ГРС "Жуково")</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67-18-13</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с/п Пригорское, д. Ковалевка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(8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(возможность подключения от ГРС "Смоленск")</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67-18-20</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Вязгинское с/п, восточнее д. Сыр-Липки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(30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67-18-36</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Вязгинское с/п, д. Холковичи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(30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67-18-37</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Волоковское с/п д. Орловка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(30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67-18-40</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Корохоткинское с/п, д. Понасково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120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4,5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67-18-99</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южнее деревни Максимово, в непосредственной близости к г. Сафоново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2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(ГВД по границе участка)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(Плещеевский водозабор в 600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67-17-02</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Угранский район, в 26 км северо-восточнее п. Угра, южнее д. Слободка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(20 км до Юхнов)</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лесного фонда (780,7 га), земли сельскохоз. назначения (219,3 га)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(ТП у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67-21-04</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Шумячский район, автодорога Москва - Малоярославец - Рославль - граница Республики Беларусь, около п. Шумовка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67-24-05</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Ярцевский район, западнее д. Суетово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54</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(ЛЭП 10 кВ по границе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(ГВД по границе участка)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67-25-20</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90" w:name="Par11095"/>
      <w:bookmarkEnd w:id="490"/>
      <w:r>
        <w:rPr>
          <w:rFonts w:ascii="Calibri" w:hAnsi="Calibri" w:cs="Calibri"/>
        </w:rPr>
        <w:t>&lt;92&gt; http://www.smolinvest.com/platform_for_business/grinfilds/.</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91" w:name="Par11097"/>
      <w:bookmarkEnd w:id="491"/>
      <w:r>
        <w:rPr>
          <w:rFonts w:ascii="Calibri" w:hAnsi="Calibri" w:cs="Calibri"/>
        </w:rPr>
        <w:t>Таблица 54</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bookmarkStart w:id="492" w:name="Par11099"/>
      <w:bookmarkEnd w:id="492"/>
      <w:r>
        <w:rPr>
          <w:rFonts w:ascii="Calibri" w:hAnsi="Calibri" w:cs="Calibri"/>
        </w:rPr>
        <w:t>Оценка площадок, находящихся в частной собственности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2098"/>
        <w:gridCol w:w="1417"/>
        <w:gridCol w:w="2608"/>
        <w:gridCol w:w="1191"/>
        <w:gridCol w:w="1077"/>
        <w:gridCol w:w="1304"/>
        <w:gridCol w:w="1077"/>
        <w:gridCol w:w="2098"/>
        <w:gridCol w:w="2041"/>
        <w:gridCol w:w="1757"/>
        <w:gridCol w:w="1928"/>
        <w:gridCol w:w="907"/>
        <w:gridCol w:w="1134"/>
      </w:tblGrid>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Расположение</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к районному центру</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Категория земель</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Площадь, га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к трассе М1 Беларусь</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Подведены дороги к участку</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Близость ж/д путей</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Электроснабжение</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Газоснабжение</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Водоснабжение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Перспективность</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Оценка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Номер инвест. площадки </w:t>
            </w:r>
            <w:hyperlink w:anchor="Par11415" w:history="1">
              <w:r>
                <w:rPr>
                  <w:rFonts w:ascii="Calibri" w:hAnsi="Calibri" w:cs="Calibri"/>
                  <w:color w:val="0000FF"/>
                </w:rPr>
                <w:t>&lt;93&gt;</w:t>
              </w:r>
            </w:hyperlink>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Степаниковское с/п, в районе дер. Пыжовка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(ВЛ проходит по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1,2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67-02-24</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Кайдаковское сельское поселение, дер. Южная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32,8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(примыкает к участку)</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(примыкает к участку)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67-02-31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 район, западнее д. Буда, 454 км автодороги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(ВЛ 10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67-11-14</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 район, восточнее дер. Зюзьки, 445 км + 895 м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промышленности</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(ВЛ 10 кВ в 50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67-11-15</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Вяземский район, в районе деревень Кокорево, Сакулино, Коммуна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247,9</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67-02-16</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Гагаринский район, южнее г. Гагарина, слева и справа от автодороги М1 "Беларусь"</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111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(через участок проходит линия ЛЭП 10 и 35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(ГСД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67-03-02</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Кардымовский район, д. Шокино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(12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62,06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500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(ГВД по участку)</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500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67-10-22</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 район, на западе д. Красная Горка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163,7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(ЛЭП 10 кВ в 100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(ГВД)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(водонапорная башня в 100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67-11-04</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Краснинский район, севернее д. Буда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30,1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(ЛЭП 10 кВ в 100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(ГВД)</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(водонапорная башня в 100 м)</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67-11-05</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севернее деревни Бараново, на перекрестке а/д М1 и об. дор. г. Сафоново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90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67-17-01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Сафоновский район, Зимницкое с/п</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(27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1636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67-17-05</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дер. Жуково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(9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395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(по границе участка)</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с/п Пригорское, д. Шабаново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(7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33,5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(по границе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(ГСД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67-18-03</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с/п Пригорское, д. Шабаново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(7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31,65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(по границе участка)</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(ГСД в 500 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67-18-04</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северо-восточнее д. Жуково на расстоянии 2500 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67-18-24</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Михновское сельское поселение, севернее дер. Лубня</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(14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(ВЛ 110 кВ "Талашкино" в 0,5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12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(локальный водозабор на площадке)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67-18-29</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Смоленский район, Пригорское сельское поселение, северо-восточнее дер. Селифонов</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(10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(ПС 110 кВ "Талашкино" в 6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6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(локальный водозабор на площадке)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67-18-30</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 район, Каблуковское с/п, урочище 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300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3,5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67-12-01</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 район, Каблуковское с/п, урочище 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106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200 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2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67-12-02</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 район, Каблуковское с/п, урочище Белики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(16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51</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2 км)</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 5 км)</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долгосрочная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67-12-03</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Монастырщинский район, д. Скреплево, д. Носково, д. Бурхово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(5 км)</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700</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67-12-07</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Угранский район, Великопольевское сельское поселение, д. Луги</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47,8</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(ЛЭП 10 кВ)</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67-21-03</w:t>
            </w:r>
          </w:p>
        </w:tc>
      </w:tr>
      <w:tr w:rsidR="00703D06">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 Смоленск, Рославльское шоссе, 7-ой км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6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земли сельскохоз. назначения/населенных пунктов</w:t>
            </w:r>
          </w:p>
        </w:tc>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20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(есть возможность подключения)</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(возможен локальный водозабор на площадке)</w:t>
            </w:r>
          </w:p>
        </w:tc>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среднесрочная</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67-27-01</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703D06" w:rsidRDefault="00703D06">
      <w:pPr>
        <w:widowControl w:val="0"/>
        <w:autoSpaceDE w:val="0"/>
        <w:autoSpaceDN w:val="0"/>
        <w:adjustRightInd w:val="0"/>
        <w:spacing w:after="0" w:line="240" w:lineRule="auto"/>
        <w:ind w:firstLine="540"/>
        <w:jc w:val="both"/>
        <w:rPr>
          <w:rFonts w:ascii="Calibri" w:hAnsi="Calibri" w:cs="Calibri"/>
        </w:rPr>
      </w:pPr>
      <w:bookmarkStart w:id="493" w:name="Par11415"/>
      <w:bookmarkEnd w:id="493"/>
      <w:r>
        <w:rPr>
          <w:rFonts w:ascii="Calibri" w:hAnsi="Calibri" w:cs="Calibri"/>
        </w:rPr>
        <w:t>&lt;93&gt; http://www.smolinvest.com/platform_for_business/grinfilds/.</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проведенной оценки доступной инфраструктуры для размещения производственных и иных объектов инвесторов можно сказать, что:</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Подавляющее большинство (12 из 14) рассмотренных инвестиционных площадок (гринфилд) с категорией земель промышленности/населенных пунктов/запаса, находящихся не в частной собственности, обладают хорошими возможности в среднесрочной перспективе привлечь не только представителей малого и среднего бизнеса, но и крупного (5 площадок более 100 га). Две инвестиционные площадки (номера площадок 67-20-01 и 67-04-09) будут интересны в долгосрочной перспективе по факту создания инженерных коммуникаций.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инвестиционных площадок (гринфилд) с категорией земель сельскохозяйственного назначения/лесного фонда, находящихся не в частной собственности, хорошими возможностями в среднесрочной перспективе обладает почти треть (9 из 30). Три инвестиционные площадки размером более 100 га могут привлечь представителей крупного бизнеса (номера площадок 67-02-25, 67-18-20, 67-21-04). Остальные участки будут интересны в долгосрочной перспективе по факту создания либо инженерных коммуникаций, либо подъездных путей.</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Большинство площадок (19 из 23), находящихся в частной собственности </w:t>
      </w:r>
      <w:hyperlink w:anchor="Par742" w:history="1">
        <w:r>
          <w:rPr>
            <w:rFonts w:ascii="Calibri" w:hAnsi="Calibri" w:cs="Calibri"/>
            <w:color w:val="0000FF"/>
          </w:rPr>
          <w:t>(таблица 7)</w:t>
        </w:r>
      </w:hyperlink>
      <w:r>
        <w:rPr>
          <w:rFonts w:ascii="Calibri" w:hAnsi="Calibri" w:cs="Calibri"/>
        </w:rPr>
        <w:t>, обладают хорошими возможностями в среднесрочной перспективе привлечь не только представителей малого и среднего бизнеса, но и крупного (9 площадок более 100 га). Четыре площадки будут интересны в долгосрочной перспективе по факту создания либо инженерных коммуникаций, либо подъездных путей (номера площадок 67-12-03, 67-12-02, 67-12-01, 67-03-02).</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каждой инвестиционной площадки может потребоваться проработка возможности включения необходимых объектов электроснабжения в инвестиционные программы филиала ОАО "МРСК Центра" - "Смоленскэнерго", ОАО "ФСК ЕЭС", а также уточнение наличия свободных электрических мощностей. Для газоснабжения необходимо уточнение наличия ГРП. В случае использования скважин на площадке для обеспечения водоснабжения необходимо проработать вопрос создания санитарно-защитной зоны.</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494" w:name="Par11427"/>
      <w:bookmarkEnd w:id="494"/>
      <w:r>
        <w:rPr>
          <w:rFonts w:ascii="Calibri" w:hAnsi="Calibri" w:cs="Calibri"/>
        </w:rPr>
        <w:t>Приложение 10</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495" w:name="Par11429"/>
      <w:bookmarkEnd w:id="495"/>
      <w:r>
        <w:rPr>
          <w:rFonts w:ascii="Calibri" w:hAnsi="Calibri" w:cs="Calibri"/>
          <w:b/>
          <w:bCs/>
        </w:rPr>
        <w:t>ПЕРЕЧЕНЬ</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ФЕДЕРАЛЬНЫХ ЦЕЛЕВЫХ ПРОГРАММ И ФЕДЕРАЛЬНЫХ ПРОГРАММ РАЗВИТИЯ</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РЕГИОНОВ, ПРЕДУСМОТРЕННЫХ К ФИНАНСИРОВАНИЮ</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 ФЕДЕРАЛЬНОГО БЮДЖЕТА</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496" w:name="Par11434"/>
      <w:bookmarkEnd w:id="496"/>
      <w:r>
        <w:rPr>
          <w:rFonts w:ascii="Calibri" w:hAnsi="Calibri" w:cs="Calibri"/>
        </w:rPr>
        <w:t>Таблица 55</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Перечень федеральных целевых программ и федеральных программ</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развития регионов, предусмотренных к финансированию</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из федерального бюджета</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4819"/>
        <w:gridCol w:w="4819"/>
      </w:tblGrid>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федеральной целевой программы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Государственные заказчики</w:t>
            </w:r>
          </w:p>
        </w:tc>
      </w:tr>
      <w:tr w:rsidR="00703D06">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97" w:name="Par11442"/>
            <w:bookmarkEnd w:id="497"/>
            <w:r>
              <w:rPr>
                <w:rFonts w:ascii="Calibri" w:hAnsi="Calibri" w:cs="Calibri"/>
              </w:rPr>
              <w:t>Раздел 1. РАЗВИТИЕ ВЫСОКИХ ТЕХНОЛОГИЙ</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Федеральная космическая программа России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Роскосмос</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1" w:history="1">
              <w:r w:rsidR="00703D06">
                <w:rPr>
                  <w:rFonts w:ascii="Calibri" w:hAnsi="Calibri" w:cs="Calibri"/>
                  <w:color w:val="0000FF"/>
                </w:rPr>
                <w:t>Программа</w:t>
              </w:r>
            </w:hyperlink>
            <w:r w:rsidR="00703D06">
              <w:rPr>
                <w:rFonts w:ascii="Calibri" w:hAnsi="Calibri" w:cs="Calibri"/>
              </w:rPr>
              <w:t xml:space="preserve"> "Исследования и разработки по приоритетным направлениям развития научно-технологического комплекса 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Минобрнауки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2" w:history="1">
              <w:r w:rsidR="00703D06">
                <w:rPr>
                  <w:rFonts w:ascii="Calibri" w:hAnsi="Calibri" w:cs="Calibri"/>
                  <w:color w:val="0000FF"/>
                </w:rPr>
                <w:t>Программа</w:t>
              </w:r>
            </w:hyperlink>
            <w:r w:rsidR="00703D06">
              <w:rPr>
                <w:rFonts w:ascii="Calibri" w:hAnsi="Calibri" w:cs="Calibri"/>
              </w:rPr>
              <w:t xml:space="preserve"> "Развитие гражданской авиационной техники России на 2002 - 2010 годы и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3" w:history="1">
              <w:r w:rsidR="00703D06">
                <w:rPr>
                  <w:rFonts w:ascii="Calibri" w:hAnsi="Calibri" w:cs="Calibri"/>
                  <w:color w:val="0000FF"/>
                </w:rPr>
                <w:t>Программа</w:t>
              </w:r>
            </w:hyperlink>
            <w:r w:rsidR="00703D06">
              <w:rPr>
                <w:rFonts w:ascii="Calibri" w:hAnsi="Calibri" w:cs="Calibri"/>
              </w:rPr>
              <w:t xml:space="preserve"> "Развитие телерадиовещания в Российской Федерации на 2009 - 2015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Минкомсвязь России - координатор, Минкомсвязь России, Россвязь, Роспечать</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"Развитие российских космодромов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Минобороны России - координатор, Минобрнауки России, Минобороны России, Роскосмос, Минрегион России, Федеральное медико-биологическое агентство</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Подпрограмма "Создание обеспечивающей инфраструктуры космодрома "Восточный"</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Роскосмос-координатор, Роскосмос, Федеральное медико-биологическое агентство</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4" w:history="1">
              <w:r w:rsidR="00703D06">
                <w:rPr>
                  <w:rFonts w:ascii="Calibri" w:hAnsi="Calibri" w:cs="Calibri"/>
                  <w:color w:val="0000FF"/>
                </w:rPr>
                <w:t>Программа</w:t>
              </w:r>
            </w:hyperlink>
            <w:r w:rsidR="00703D06">
              <w:rPr>
                <w:rFonts w:ascii="Calibri" w:hAnsi="Calibri" w:cs="Calibri"/>
              </w:rPr>
              <w:t xml:space="preserve"> "Развитие гражданской морской техники" на 2009 - 2016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 - координатор, Минпромторг России, Росморречфлот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5" w:history="1">
              <w:r w:rsidR="00703D06">
                <w:rPr>
                  <w:rFonts w:ascii="Calibri" w:hAnsi="Calibri" w:cs="Calibri"/>
                  <w:color w:val="0000FF"/>
                </w:rPr>
                <w:t>Программа</w:t>
              </w:r>
            </w:hyperlink>
            <w:r w:rsidR="00703D06">
              <w:rPr>
                <w:rFonts w:ascii="Calibri" w:hAnsi="Calibri" w:cs="Calibri"/>
              </w:rPr>
              <w:t xml:space="preserve"> "Развитие электронной компонентной базы и радиоэлектроники" на 2008 - 2015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 - координатор, Минпромторг России, Минобрнауки России, Роскосмос, ФСТЭК России, Государственная корпорация по атомной энергии "Росатом"</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6" w:history="1">
              <w:r w:rsidR="00703D06">
                <w:rPr>
                  <w:rFonts w:ascii="Calibri" w:hAnsi="Calibri" w:cs="Calibri"/>
                  <w:color w:val="0000FF"/>
                </w:rPr>
                <w:t>Программа</w:t>
              </w:r>
            </w:hyperlink>
            <w:r w:rsidR="00703D06">
              <w:rPr>
                <w:rFonts w:ascii="Calibri" w:hAnsi="Calibri" w:cs="Calibri"/>
              </w:rPr>
              <w:t xml:space="preserve"> "Национальная технологическая база" на 2007 - 2011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 - координатор, Минпромторг России, Минобрнауки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7" w:history="1">
              <w:r w:rsidR="00703D06">
                <w:rPr>
                  <w:rFonts w:ascii="Calibri" w:hAnsi="Calibri" w:cs="Calibri"/>
                  <w:color w:val="0000FF"/>
                </w:rPr>
                <w:t>Подпрограмма</w:t>
              </w:r>
            </w:hyperlink>
            <w:r w:rsidR="00703D06">
              <w:rPr>
                <w:rFonts w:ascii="Calibri" w:hAnsi="Calibri" w:cs="Calibri"/>
              </w:rPr>
              <w:t xml:space="preserve"> "Создание и организация производства в Российской Федерации в 2011 - 2015 годах дизельных двигателей и их компонентов нового поколения"</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8" w:history="1">
              <w:r w:rsidR="00703D06">
                <w:rPr>
                  <w:rFonts w:ascii="Calibri" w:hAnsi="Calibri" w:cs="Calibri"/>
                  <w:color w:val="0000FF"/>
                </w:rPr>
                <w:t>Подпрограмма</w:t>
              </w:r>
            </w:hyperlink>
            <w:r w:rsidR="00703D06">
              <w:rPr>
                <w:rFonts w:ascii="Calibri" w:hAnsi="Calibri" w:cs="Calibri"/>
              </w:rPr>
              <w:t xml:space="preserve"> "Развитие отечественного станкостроения и инструментальной промышленности" на 2011 - 2016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 Минобрнауки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Подпрограмма "Современные средства индивидуальной защиты и системы жизнеобеспечения подземного персонала угольных шахт"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199" w:history="1">
              <w:r w:rsidR="00703D06">
                <w:rPr>
                  <w:rFonts w:ascii="Calibri" w:hAnsi="Calibri" w:cs="Calibri"/>
                  <w:color w:val="0000FF"/>
                </w:rPr>
                <w:t>Программа</w:t>
              </w:r>
            </w:hyperlink>
            <w:r w:rsidR="00703D06">
              <w:rPr>
                <w:rFonts w:ascii="Calibri" w:hAnsi="Calibri" w:cs="Calibri"/>
              </w:rPr>
              <w:t xml:space="preserve"> "Ядерные энерготехнологии нового поколения на период 2010 - 2015 годов и на перспективу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Государственная корпорация по атомной энергии "Росатом" - координатор, Федеральное государственное бюджетное учреждение "Национальный исследовательский центр "Курчатовский институт", Государственная корпорация по атомной энергии "Росатом"</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"Развитие фармацевтической и медицинской промышленности Российской Федерации на период до 2020 года и дальнейшую перспективу"</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 - координатор, Минпромторг России, Минздрав России, Минобрнауки России, Минтруд России, Федеральное государственное бюджетное образовательное учреждение высшего профессионального образования "Московский государственный университет имени М.В. Ломоносова", г. Москва, Федеральное медико-биологическое агентство, Государственная корпорация по атомной энергии "Росатом"</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"Поддержание, развитие и использование системы ГЛОНАСС на 2012 - 2020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Роскосмос-координатор, Минпромторг России, Минтранс России, Росстандарт, МЧС России, Минобороны России, МВД России, Роскосмос, Росреестр</w:t>
            </w:r>
          </w:p>
        </w:tc>
      </w:tr>
      <w:tr w:rsidR="00703D06">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98" w:name="Par11473"/>
            <w:bookmarkEnd w:id="498"/>
            <w:r>
              <w:rPr>
                <w:rFonts w:ascii="Calibri" w:hAnsi="Calibri" w:cs="Calibri"/>
              </w:rPr>
              <w:t>Раздел 2. ЖИЛЬЕ</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0" w:history="1">
              <w:r w:rsidR="00703D06">
                <w:rPr>
                  <w:rFonts w:ascii="Calibri" w:hAnsi="Calibri" w:cs="Calibri"/>
                  <w:color w:val="0000FF"/>
                </w:rPr>
                <w:t>Программа</w:t>
              </w:r>
            </w:hyperlink>
            <w:r w:rsidR="00703D06">
              <w:rPr>
                <w:rFonts w:ascii="Calibri" w:hAnsi="Calibri" w:cs="Calibri"/>
              </w:rPr>
              <w:t xml:space="preserve"> "Совершенствование системы комплектования должностей сержантов и солдат военнослужащими, переведенными на военную службу по контракту, и осуществление перехода к комплектованию должностей сержантов (старшин) Вооруженных Сил Российской Федерации, других войск, воинских формирований и органов, а также матросов плавсостава Военно-морского флота военнослужащими, проходящими военную службу по контракту (2009 - 2015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Минобороны России - координатор, СВР России, МВД России, ФСБ России, ФСО России, Спецстрой России, ГУСП</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1" w:history="1">
              <w:r w:rsidR="00703D06">
                <w:rPr>
                  <w:rFonts w:ascii="Calibri" w:hAnsi="Calibri" w:cs="Calibri"/>
                  <w:color w:val="0000FF"/>
                </w:rPr>
                <w:t>Программа</w:t>
              </w:r>
            </w:hyperlink>
            <w:r w:rsidR="00703D06">
              <w:rPr>
                <w:rFonts w:ascii="Calibri" w:hAnsi="Calibri" w:cs="Calibri"/>
              </w:rPr>
              <w:t xml:space="preserve"> "Жилище"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Минрегион России - координатор, федеральные органы исполнительной власти, Уполномоченный по правам человека в Российской Федерации, Госстрой, Генеральная прокуратура Российской Федерации, Следственный комитет Российской Федерации, Верховный Суд Российской Федерации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2" w:history="1">
              <w:r w:rsidR="00703D06">
                <w:rPr>
                  <w:rFonts w:ascii="Calibri" w:hAnsi="Calibri" w:cs="Calibri"/>
                  <w:color w:val="0000FF"/>
                </w:rPr>
                <w:t>Подпрограмма</w:t>
              </w:r>
            </w:hyperlink>
            <w:r w:rsidR="00703D06">
              <w:rPr>
                <w:rFonts w:ascii="Calibri" w:hAnsi="Calibri" w:cs="Calibri"/>
              </w:rPr>
              <w:t xml:space="preserve"> "Обеспечение жильем молодых семей"</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Госстрой</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3" w:history="1">
              <w:r w:rsidR="00703D06">
                <w:rPr>
                  <w:rFonts w:ascii="Calibri" w:hAnsi="Calibri" w:cs="Calibri"/>
                  <w:color w:val="0000FF"/>
                </w:rPr>
                <w:t>Подпрограмма</w:t>
              </w:r>
            </w:hyperlink>
            <w:r w:rsidR="00703D06">
              <w:rPr>
                <w:rFonts w:ascii="Calibri" w:hAnsi="Calibri" w:cs="Calibri"/>
              </w:rPr>
              <w:t xml:space="preserve"> "Модернизация объектов коммунальной инфраструктуры"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Госстрой, Минрегион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4" w:history="1">
              <w:r w:rsidR="00703D06">
                <w:rPr>
                  <w:rFonts w:ascii="Calibri" w:hAnsi="Calibri" w:cs="Calibri"/>
                  <w:color w:val="0000FF"/>
                </w:rPr>
                <w:t>Подпрограмма</w:t>
              </w:r>
            </w:hyperlink>
            <w:r w:rsidR="00703D06">
              <w:rPr>
                <w:rFonts w:ascii="Calibri" w:hAnsi="Calibri" w:cs="Calibri"/>
              </w:rPr>
              <w:t xml:space="preserve"> "Стимулирование программ развития жилищного строительства субъектов Российской Федерации"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5" w:history="1">
              <w:r w:rsidR="00703D06">
                <w:rPr>
                  <w:rFonts w:ascii="Calibri" w:hAnsi="Calibri" w:cs="Calibri"/>
                  <w:color w:val="0000FF"/>
                </w:rPr>
                <w:t>Подпрограмма</w:t>
              </w:r>
            </w:hyperlink>
            <w:r w:rsidR="00703D06">
              <w:rPr>
                <w:rFonts w:ascii="Calibri" w:hAnsi="Calibri" w:cs="Calibri"/>
              </w:rPr>
              <w:t xml:space="preserve"> "Выполнение государственных обязательств по обеспечению жильем категорий граждан, установленных федеральным законодательством"</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Госстрой</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Мероприятия по обеспечению жильем отдельных категорий граждан</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федеральные органы исполнительной власти, Уполномоченный по правам человека в Российской Федерации, Генеральная прокуратура Российской Федерации, Следственный комитет Российской Федерации, Верховный Суд Российской Федерации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Расходы на управление </w:t>
            </w:r>
            <w:hyperlink r:id="rId206" w:history="1">
              <w:r>
                <w:rPr>
                  <w:rFonts w:ascii="Calibri" w:hAnsi="Calibri" w:cs="Calibri"/>
                  <w:color w:val="0000FF"/>
                </w:rPr>
                <w:t>Программой</w:t>
              </w:r>
            </w:hyperlink>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Минрегион России</w:t>
            </w:r>
          </w:p>
        </w:tc>
      </w:tr>
      <w:tr w:rsidR="00703D06">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499" w:name="Par11490"/>
            <w:bookmarkEnd w:id="499"/>
            <w:r>
              <w:rPr>
                <w:rFonts w:ascii="Calibri" w:hAnsi="Calibri" w:cs="Calibri"/>
              </w:rPr>
              <w:t>Раздел 3. ТРАНСПОРТНАЯ ИНФРАСТРУКТУРА</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7" w:history="1">
              <w:r w:rsidR="00703D06">
                <w:rPr>
                  <w:rFonts w:ascii="Calibri" w:hAnsi="Calibri" w:cs="Calibri"/>
                  <w:color w:val="0000FF"/>
                </w:rPr>
                <w:t>Программа</w:t>
              </w:r>
            </w:hyperlink>
            <w:r w:rsidR="00703D06">
              <w:rPr>
                <w:rFonts w:ascii="Calibri" w:hAnsi="Calibri" w:cs="Calibri"/>
              </w:rPr>
              <w:t xml:space="preserve"> "Развитие транспортной системы России (2010 - 2020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Минтранс России - координатор, Минтранс России, Ространснадзор, Росавиация, Росавтодор, Росжелдор, Росморречфлот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8" w:history="1">
              <w:r w:rsidR="00703D06">
                <w:rPr>
                  <w:rFonts w:ascii="Calibri" w:hAnsi="Calibri" w:cs="Calibri"/>
                  <w:color w:val="0000FF"/>
                </w:rPr>
                <w:t>Подпрограмма</w:t>
              </w:r>
            </w:hyperlink>
            <w:r w:rsidR="00703D06">
              <w:rPr>
                <w:rFonts w:ascii="Calibri" w:hAnsi="Calibri" w:cs="Calibri"/>
              </w:rPr>
              <w:t xml:space="preserve"> "Развитие экспорта транспортных услуг"</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Минтранс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09" w:history="1">
              <w:r w:rsidR="00703D06">
                <w:rPr>
                  <w:rFonts w:ascii="Calibri" w:hAnsi="Calibri" w:cs="Calibri"/>
                  <w:color w:val="0000FF"/>
                </w:rPr>
                <w:t>Подпрограмма</w:t>
              </w:r>
            </w:hyperlink>
            <w:r w:rsidR="00703D06">
              <w:rPr>
                <w:rFonts w:ascii="Calibri" w:hAnsi="Calibri" w:cs="Calibri"/>
              </w:rPr>
              <w:t xml:space="preserve"> "Железнодорожный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Росжелдор</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0" w:history="1">
              <w:r w:rsidR="00703D06">
                <w:rPr>
                  <w:rFonts w:ascii="Calibri" w:hAnsi="Calibri" w:cs="Calibri"/>
                  <w:color w:val="0000FF"/>
                </w:rPr>
                <w:t>Подпрограмма</w:t>
              </w:r>
            </w:hyperlink>
            <w:r w:rsidR="00703D06">
              <w:rPr>
                <w:rFonts w:ascii="Calibri" w:hAnsi="Calibri" w:cs="Calibri"/>
              </w:rPr>
              <w:t xml:space="preserve"> "Автомобильные дороги"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Росавтодор</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1" w:history="1">
              <w:r w:rsidR="00703D06">
                <w:rPr>
                  <w:rFonts w:ascii="Calibri" w:hAnsi="Calibri" w:cs="Calibri"/>
                  <w:color w:val="0000FF"/>
                </w:rPr>
                <w:t>Подпрограмма</w:t>
              </w:r>
            </w:hyperlink>
            <w:r w:rsidR="00703D06">
              <w:rPr>
                <w:rFonts w:ascii="Calibri" w:hAnsi="Calibri" w:cs="Calibri"/>
              </w:rPr>
              <w:t xml:space="preserve"> "Морской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Росморречфлот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2" w:history="1">
              <w:r w:rsidR="00703D06">
                <w:rPr>
                  <w:rFonts w:ascii="Calibri" w:hAnsi="Calibri" w:cs="Calibri"/>
                  <w:color w:val="0000FF"/>
                </w:rPr>
                <w:t>Подпрограмма</w:t>
              </w:r>
            </w:hyperlink>
            <w:r w:rsidR="00703D06">
              <w:rPr>
                <w:rFonts w:ascii="Calibri" w:hAnsi="Calibri" w:cs="Calibri"/>
              </w:rPr>
              <w:t xml:space="preserve"> "Внутренний водный транспорт"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Росморречфлот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3" w:history="1">
              <w:r w:rsidR="00703D06">
                <w:rPr>
                  <w:rFonts w:ascii="Calibri" w:hAnsi="Calibri" w:cs="Calibri"/>
                  <w:color w:val="0000FF"/>
                </w:rPr>
                <w:t>Подпрограмма</w:t>
              </w:r>
            </w:hyperlink>
            <w:r w:rsidR="00703D06">
              <w:rPr>
                <w:rFonts w:ascii="Calibri" w:hAnsi="Calibri" w:cs="Calibri"/>
              </w:rPr>
              <w:t xml:space="preserve"> "Гражданская авиация"</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Росавиация</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Расходы общепрограммного характера по </w:t>
            </w:r>
            <w:hyperlink r:id="rId214" w:history="1">
              <w:r>
                <w:rPr>
                  <w:rFonts w:ascii="Calibri" w:hAnsi="Calibri" w:cs="Calibri"/>
                  <w:color w:val="0000FF"/>
                </w:rPr>
                <w:t>программе</w:t>
              </w:r>
            </w:hyperlink>
            <w:r>
              <w:rPr>
                <w:rFonts w:ascii="Calibri" w:hAnsi="Calibri" w:cs="Calibri"/>
              </w:rPr>
              <w:t xml:space="preserve"> "Развитие транспортной системы России (2010 - 2020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Минтранс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5" w:history="1">
              <w:r w:rsidR="00703D06">
                <w:rPr>
                  <w:rFonts w:ascii="Calibri" w:hAnsi="Calibri" w:cs="Calibri"/>
                  <w:color w:val="0000FF"/>
                </w:rPr>
                <w:t>Подпрограмма</w:t>
              </w:r>
            </w:hyperlink>
            <w:r w:rsidR="00703D06">
              <w:rPr>
                <w:rFonts w:ascii="Calibri" w:hAnsi="Calibri" w:cs="Calibri"/>
              </w:rPr>
              <w:t xml:space="preserve"> "Государственный контроль и надзор в сфере транспорта"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Ространснадзор</w:t>
            </w:r>
          </w:p>
        </w:tc>
      </w:tr>
      <w:tr w:rsidR="00703D06">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500" w:name="Par11509"/>
            <w:bookmarkEnd w:id="500"/>
            <w:r>
              <w:rPr>
                <w:rFonts w:ascii="Calibri" w:hAnsi="Calibri" w:cs="Calibri"/>
              </w:rPr>
              <w:t>Раздел 4. РАЗВИТИЕ СЕЛА</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6" w:history="1">
              <w:r w:rsidR="00703D06">
                <w:rPr>
                  <w:rFonts w:ascii="Calibri" w:hAnsi="Calibri" w:cs="Calibri"/>
                  <w:color w:val="0000FF"/>
                </w:rPr>
                <w:t>Программа</w:t>
              </w:r>
            </w:hyperlink>
            <w:r w:rsidR="00703D06">
              <w:rPr>
                <w:rFonts w:ascii="Calibri" w:hAnsi="Calibri" w:cs="Calibri"/>
              </w:rPr>
              <w:t xml:space="preserve"> "Устойчивое развитие сельских территорий на 2014 - 2017 годы и на период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Минсельхоз России - координатор, Минкультуры России, Минсельхоз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7" w:history="1">
              <w:r w:rsidR="00703D06">
                <w:rPr>
                  <w:rFonts w:ascii="Calibri" w:hAnsi="Calibri" w:cs="Calibri"/>
                  <w:color w:val="0000FF"/>
                </w:rPr>
                <w:t>Программа</w:t>
              </w:r>
            </w:hyperlink>
            <w:r w:rsidR="00703D06">
              <w:rPr>
                <w:rFonts w:ascii="Calibri" w:hAnsi="Calibri" w:cs="Calibri"/>
              </w:rPr>
              <w:t xml:space="preserve"> "Развитие мелиорации земель сельскохозяйственного назначения 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Минсельхоз России</w:t>
            </w:r>
          </w:p>
        </w:tc>
      </w:tr>
      <w:tr w:rsidR="00703D06">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501" w:name="Par11514"/>
            <w:bookmarkEnd w:id="501"/>
            <w:r>
              <w:rPr>
                <w:rFonts w:ascii="Calibri" w:hAnsi="Calibri" w:cs="Calibri"/>
              </w:rPr>
              <w:t>Раздел 5. СОЦИАЛЬНАЯ ИНФРАСТРУКТУРА</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8" w:history="1">
              <w:r w:rsidR="00703D06">
                <w:rPr>
                  <w:rFonts w:ascii="Calibri" w:hAnsi="Calibri" w:cs="Calibri"/>
                  <w:color w:val="0000FF"/>
                </w:rPr>
                <w:t>Программа</w:t>
              </w:r>
            </w:hyperlink>
            <w:r w:rsidR="00703D06">
              <w:rPr>
                <w:rFonts w:ascii="Calibri" w:hAnsi="Calibri" w:cs="Calibri"/>
              </w:rPr>
              <w:t xml:space="preserve"> "Научные и научно-педагогические кадры инновационной России" на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Минобрнауки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19" w:history="1">
              <w:r w:rsidR="00703D06">
                <w:rPr>
                  <w:rFonts w:ascii="Calibri" w:hAnsi="Calibri" w:cs="Calibri"/>
                  <w:color w:val="0000FF"/>
                </w:rPr>
                <w:t>Программа</w:t>
              </w:r>
            </w:hyperlink>
            <w:r w:rsidR="00703D06">
              <w:rPr>
                <w:rFonts w:ascii="Calibri" w:hAnsi="Calibri" w:cs="Calibri"/>
              </w:rPr>
              <w:t xml:space="preserve"> "Развитие физической культуры и спорта в Российской Федерации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Минспорт России - координатор, Минобрнауки России, Минспорт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20" w:history="1">
              <w:r w:rsidR="00703D06">
                <w:rPr>
                  <w:rFonts w:ascii="Calibri" w:hAnsi="Calibri" w:cs="Calibri"/>
                  <w:color w:val="0000FF"/>
                </w:rPr>
                <w:t>Подпрограмма</w:t>
              </w:r>
            </w:hyperlink>
            <w:r w:rsidR="00703D06">
              <w:rPr>
                <w:rFonts w:ascii="Calibri" w:hAnsi="Calibri" w:cs="Calibri"/>
              </w:rPr>
              <w:t xml:space="preserve"> "Развитие футбола в Российской Федерации на 2008 - 2015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Минспорт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Расходы общепрограммного характера по </w:t>
            </w:r>
            <w:hyperlink r:id="rId221" w:history="1">
              <w:r>
                <w:rPr>
                  <w:rFonts w:ascii="Calibri" w:hAnsi="Calibri" w:cs="Calibri"/>
                  <w:color w:val="0000FF"/>
                </w:rPr>
                <w:t>программе</w:t>
              </w:r>
            </w:hyperlink>
            <w:r>
              <w:rPr>
                <w:rFonts w:ascii="Calibri" w:hAnsi="Calibri" w:cs="Calibri"/>
              </w:rPr>
              <w:t xml:space="preserve"> "Развитие физической культуры и спорта в Российской Федерации на 2006 - 2015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Минобрнауки России, Минспорт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Федеральная целевая </w:t>
            </w:r>
            <w:hyperlink r:id="rId222" w:history="1">
              <w:r>
                <w:rPr>
                  <w:rFonts w:ascii="Calibri" w:hAnsi="Calibri" w:cs="Calibri"/>
                  <w:color w:val="0000FF"/>
                </w:rPr>
                <w:t>программа</w:t>
              </w:r>
            </w:hyperlink>
            <w:r>
              <w:rPr>
                <w:rFonts w:ascii="Calibri" w:hAnsi="Calibri" w:cs="Calibri"/>
              </w:rPr>
              <w:t xml:space="preserve"> развития образования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Минобрнауки России - координатор, Минобрнауки России, Рособрнадзор, Санкт-Петербургский государственный университет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23" w:history="1">
              <w:r w:rsidR="00703D06">
                <w:rPr>
                  <w:rFonts w:ascii="Calibri" w:hAnsi="Calibri" w:cs="Calibri"/>
                  <w:color w:val="0000FF"/>
                </w:rPr>
                <w:t>Программа</w:t>
              </w:r>
            </w:hyperlink>
            <w:r w:rsidR="00703D06">
              <w:rPr>
                <w:rFonts w:ascii="Calibri" w:hAnsi="Calibri" w:cs="Calibri"/>
              </w:rPr>
              <w:t xml:space="preserve"> "Русский язык"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Минобрнауки России - координатор, Минобрнауки России, Россотрудничество</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24" w:history="1">
              <w:r w:rsidR="00703D06">
                <w:rPr>
                  <w:rFonts w:ascii="Calibri" w:hAnsi="Calibri" w:cs="Calibri"/>
                  <w:color w:val="0000FF"/>
                </w:rPr>
                <w:t>Программа</w:t>
              </w:r>
            </w:hyperlink>
            <w:r w:rsidR="00703D06">
              <w:rPr>
                <w:rFonts w:ascii="Calibri" w:hAnsi="Calibri" w:cs="Calibri"/>
              </w:rPr>
              <w:t xml:space="preserve"> "Развитие внутреннего и въездного туризма в Российской Федерации (2011 - 2018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Ростуризм-координатор, Ростуризм, Минрегион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25" w:history="1">
              <w:r w:rsidR="00703D06">
                <w:rPr>
                  <w:rFonts w:ascii="Calibri" w:hAnsi="Calibri" w:cs="Calibri"/>
                  <w:color w:val="0000FF"/>
                </w:rPr>
                <w:t>Государственная</w:t>
              </w:r>
            </w:hyperlink>
            <w:r w:rsidR="00703D06">
              <w:rPr>
                <w:rFonts w:ascii="Calibri" w:hAnsi="Calibri" w:cs="Calibri"/>
              </w:rPr>
              <w:t xml:space="preserve"> программа "Доступная среда" на 2011 - 2015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Минтруд России - координатор, Минпромторг России, Минкультуры России, Минкомсвязь России, Минобрнауки России, Минтранс России, Минрегион России, Федеральное медико-биологическое агентство, Минспорт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26" w:history="1">
              <w:r w:rsidR="00703D06">
                <w:rPr>
                  <w:rFonts w:ascii="Calibri" w:hAnsi="Calibri" w:cs="Calibri"/>
                  <w:color w:val="0000FF"/>
                </w:rPr>
                <w:t>Программа</w:t>
              </w:r>
            </w:hyperlink>
            <w:r w:rsidR="00703D06">
              <w:rPr>
                <w:rFonts w:ascii="Calibri" w:hAnsi="Calibri" w:cs="Calibri"/>
              </w:rPr>
              <w:t xml:space="preserve"> "Чистая вода" на 2011 - 2017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Госстрой</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27" w:history="1">
              <w:r w:rsidR="00703D06">
                <w:rPr>
                  <w:rFonts w:ascii="Calibri" w:hAnsi="Calibri" w:cs="Calibri"/>
                  <w:color w:val="0000FF"/>
                </w:rPr>
                <w:t>Программа</w:t>
              </w:r>
            </w:hyperlink>
            <w:r w:rsidR="00703D06">
              <w:rPr>
                <w:rFonts w:ascii="Calibri" w:hAnsi="Calibri" w:cs="Calibri"/>
              </w:rPr>
              <w:t xml:space="preserve"> "Культура России (2012-2018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Минкультуры России - координатор, Минкультуры России, Роспечать, Росархив, Госфильмофонд России, Государственный Эрмитаж</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28" w:history="1">
              <w:r w:rsidR="00703D06">
                <w:rPr>
                  <w:rFonts w:ascii="Calibri" w:hAnsi="Calibri" w:cs="Calibri"/>
                  <w:color w:val="0000FF"/>
                </w:rPr>
                <w:t>Программа</w:t>
              </w:r>
            </w:hyperlink>
            <w:r w:rsidR="00703D06">
              <w:rPr>
                <w:rFonts w:ascii="Calibri" w:hAnsi="Calibri" w:cs="Calibri"/>
              </w:rPr>
              <w:t xml:space="preserve"> "Развитие водохозяйственного комплекса Российской Федерации в 2012 - 2020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Минприроды России - координатор, Минприроды России, Росводресурсы, Росрыболовство, Минсельхоз России, Росгидромет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29" w:history="1">
              <w:r w:rsidR="00703D06">
                <w:rPr>
                  <w:rFonts w:ascii="Calibri" w:hAnsi="Calibri" w:cs="Calibri"/>
                  <w:color w:val="0000FF"/>
                </w:rPr>
                <w:t>Программа</w:t>
              </w:r>
            </w:hyperlink>
            <w:r w:rsidR="00703D06">
              <w:rPr>
                <w:rFonts w:ascii="Calibri" w:hAnsi="Calibri" w:cs="Calibri"/>
              </w:rPr>
              <w:t xml:space="preserve"> "Укрепление единства российской нации и этнокультурное развитие народов России (2014 - 2020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Минрегион России - координатор, Минкультуры России, Минобрнауки России, Росмолодежь, Минрегион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"Сохранение и восстановление комплекса духовного, культурного, природного наследия и развития инфраструктуры Соловецкого архипелага на 2014 - 2019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Минрегион России - координатор, Минкультуры России, Минрегион России</w:t>
            </w:r>
          </w:p>
        </w:tc>
      </w:tr>
      <w:tr w:rsidR="00703D06">
        <w:tc>
          <w:tcPr>
            <w:tcW w:w="963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502" w:name="Par11541"/>
            <w:bookmarkEnd w:id="502"/>
            <w:r>
              <w:rPr>
                <w:rFonts w:ascii="Calibri" w:hAnsi="Calibri" w:cs="Calibri"/>
              </w:rPr>
              <w:t>Раздел 6. БЕЗОПАСНОСТЬ</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30" w:history="1">
              <w:r w:rsidR="00703D06">
                <w:rPr>
                  <w:rFonts w:ascii="Calibri" w:hAnsi="Calibri" w:cs="Calibri"/>
                  <w:color w:val="0000FF"/>
                </w:rPr>
                <w:t>Программа</w:t>
              </w:r>
            </w:hyperlink>
            <w:r w:rsidR="00703D06">
              <w:rPr>
                <w:rFonts w:ascii="Calibri" w:hAnsi="Calibri" w:cs="Calibri"/>
              </w:rPr>
              <w:t xml:space="preserve"> "Уничтожение запасов химического оружия в Российской Федерации"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Минпромторг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"Обеспечение ядерной и радиационной безопасности на 2008 год и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Государственная корпорация по атомной энергии "Росатом" - координатор, Минпромторг России, Минобрнауки России, Росморречфлот, Росгидромет, МЧС России, Минрегион России, Федеральное медико-биологическое агентство, Ростехнадзор, Федеральное государственное бюджетное учреждение "Национальный исследовательский центр "Курчатовский институт", Государственная корпорация по атомной энергии "Росатом"</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31" w:history="1">
              <w:r w:rsidR="00703D06">
                <w:rPr>
                  <w:rFonts w:ascii="Calibri" w:hAnsi="Calibri" w:cs="Calibri"/>
                  <w:color w:val="0000FF"/>
                </w:rPr>
                <w:t>Программа</w:t>
              </w:r>
            </w:hyperlink>
            <w:r w:rsidR="00703D06">
              <w:rPr>
                <w:rFonts w:ascii="Calibri" w:hAnsi="Calibri" w:cs="Calibri"/>
              </w:rPr>
              <w:t xml:space="preserve"> "Повышение устойчивости жилых домов, основных объектов и систем жизнеобеспечения в сейсмических районах Российской Федерации на 2009 - 2018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Минрегион России - координатор, МЧС России, Минобороны России, МВД России, ФСБ России, Минрегион России, Госстрой</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32" w:history="1">
              <w:r w:rsidR="00703D06">
                <w:rPr>
                  <w:rFonts w:ascii="Calibri" w:hAnsi="Calibri" w:cs="Calibri"/>
                  <w:color w:val="0000FF"/>
                </w:rPr>
                <w:t>Программа</w:t>
              </w:r>
            </w:hyperlink>
            <w:r w:rsidR="00703D06">
              <w:rPr>
                <w:rFonts w:ascii="Calibri" w:hAnsi="Calibri" w:cs="Calibri"/>
              </w:rPr>
              <w:t xml:space="preserve"> "Развитие уголовно-исполнительной системы (2007 - 2016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ФСИН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33" w:history="1">
              <w:r w:rsidR="00703D06">
                <w:rPr>
                  <w:rFonts w:ascii="Calibri" w:hAnsi="Calibri" w:cs="Calibri"/>
                  <w:color w:val="0000FF"/>
                </w:rPr>
                <w:t>Программа</w:t>
              </w:r>
            </w:hyperlink>
            <w:r w:rsidR="00703D06">
              <w:rPr>
                <w:rFonts w:ascii="Calibri" w:hAnsi="Calibri" w:cs="Calibri"/>
              </w:rPr>
              <w:t xml:space="preserve"> "Модернизация Единой системы организации воздушного движения Российской Федерации (2009 - 2020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Минтранс России - координатор, Минтранс России, Росавиация, Росгидромет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34" w:history="1">
              <w:r w:rsidR="00703D06">
                <w:rPr>
                  <w:rFonts w:ascii="Calibri" w:hAnsi="Calibri" w:cs="Calibri"/>
                  <w:color w:val="0000FF"/>
                </w:rPr>
                <w:t>Программа</w:t>
              </w:r>
            </w:hyperlink>
            <w:r w:rsidR="00703D06">
              <w:rPr>
                <w:rFonts w:ascii="Calibri" w:hAnsi="Calibri" w:cs="Calibri"/>
              </w:rPr>
              <w:t xml:space="preserve"> "Национальная система химической и биологической безопасности Российской Федерации (2009 - 2014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Минздрав России - координатор, Минпромторг России, Минздрав России, Россельхознадзор, Минсельхоз России, Роспотребнадзор, МЧС России, Минобороны России, Федеральное медико-биологическое агентство</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"Создание системы базирования Черноморского флота на территории Российской Федерации в 2005 - 2020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Минобороны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"Мировой океан" на 2014 - 2018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Минэкономразвития России - координатор</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Подпрограмма "Изучение и исследование Антарктики"</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Росгидромет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Подпрограмма "Экспедиционные исследования в Мировом океане"</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Роснедра, Минобрнауки России, Росгидромет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Подпрограмма "Исследование природы Мирового океана"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Минобрнауки России, Росгидромет</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Мероприятия государственного заказчика-координатора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Минэкономразвития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"Совершенствование федеральной системы разведки и контроля воздушного пространства Российской Федерации (2007 - 2015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Минобороны России - координатор, Росавиация, Минобороны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35" w:history="1">
              <w:r w:rsidR="00703D06">
                <w:rPr>
                  <w:rFonts w:ascii="Calibri" w:hAnsi="Calibri" w:cs="Calibri"/>
                  <w:color w:val="0000FF"/>
                </w:rPr>
                <w:t>Программа</w:t>
              </w:r>
            </w:hyperlink>
            <w:r w:rsidR="00703D06">
              <w:rPr>
                <w:rFonts w:ascii="Calibri" w:hAnsi="Calibri" w:cs="Calibri"/>
              </w:rPr>
              <w:t xml:space="preserve"> "Снижение рисков и смягчение последствий чрезвычайных ситуаций природного и техногенного характера в Российской Федерации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МЧС России - координатор, Рослесхоз, Минобрнауки России, Ространснадзор, Росгидромет, МЧС России, Ростехнадзор</w:t>
            </w:r>
          </w:p>
        </w:tc>
      </w:tr>
      <w:tr w:rsidR="00703D06">
        <w:tc>
          <w:tcPr>
            <w:tcW w:w="9638"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Федеральная целевая </w:t>
            </w:r>
            <w:hyperlink r:id="rId236" w:history="1">
              <w:r>
                <w:rPr>
                  <w:rFonts w:ascii="Calibri" w:hAnsi="Calibri" w:cs="Calibri"/>
                  <w:color w:val="0000FF"/>
                </w:rPr>
                <w:t>программа</w:t>
              </w:r>
            </w:hyperlink>
            <w:r>
              <w:rPr>
                <w:rFonts w:ascii="Calibri" w:hAnsi="Calibri" w:cs="Calibri"/>
              </w:rPr>
              <w:t xml:space="preserve"> "Обеспечение безопасности полетов воздушных судов государственной авиации Российской Федерации в 2011 - 2015 годах", утвержденная Постановлением Правительства РФ от 21.04.2011 N 307, утратила силу в связи с изданием </w:t>
            </w:r>
            <w:hyperlink r:id="rId237" w:history="1">
              <w:r>
                <w:rPr>
                  <w:rFonts w:ascii="Calibri" w:hAnsi="Calibri" w:cs="Calibri"/>
                  <w:color w:val="0000FF"/>
                </w:rPr>
                <w:t>Постановления</w:t>
              </w:r>
            </w:hyperlink>
            <w:r>
              <w:rPr>
                <w:rFonts w:ascii="Calibri" w:hAnsi="Calibri" w:cs="Calibri"/>
              </w:rPr>
              <w:t xml:space="preserve"> Правительства РФ от 30.08.2014 N 879.</w:t>
            </w: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tc>
      </w:tr>
      <w:tr w:rsidR="00703D06">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38" w:history="1">
              <w:r w:rsidR="00703D06">
                <w:rPr>
                  <w:rFonts w:ascii="Calibri" w:hAnsi="Calibri" w:cs="Calibri"/>
                  <w:color w:val="0000FF"/>
                </w:rPr>
                <w:t>Программа</w:t>
              </w:r>
            </w:hyperlink>
            <w:r w:rsidR="00703D06">
              <w:rPr>
                <w:rFonts w:ascii="Calibri" w:hAnsi="Calibri" w:cs="Calibri"/>
              </w:rPr>
              <w:t xml:space="preserve"> "Обеспечение безопасности полетов воздушных судов государственной авиации Российской Федерации в 2011 - 2015 годах"</w:t>
            </w:r>
          </w:p>
        </w:tc>
        <w:tc>
          <w:tcPr>
            <w:tcW w:w="4819" w:type="dxa"/>
            <w:tcBorders>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Минобороны России - координатор, ФТС России, МЧС России, Минобороны России, МВД России, ФСБ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"Промышленная утилизация вооружения и военной техники на 2011 - 2015 годы и на период до 2020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Минобороны России - координатор, Минобороны России, Роскосмос, Федеральное медико-биологическое агентство</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39" w:history="1">
              <w:r w:rsidR="00703D06">
                <w:rPr>
                  <w:rFonts w:ascii="Calibri" w:hAnsi="Calibri" w:cs="Calibri"/>
                  <w:color w:val="0000FF"/>
                </w:rPr>
                <w:t>Программа</w:t>
              </w:r>
            </w:hyperlink>
            <w:r w:rsidR="00703D06">
              <w:rPr>
                <w:rFonts w:ascii="Calibri" w:hAnsi="Calibri" w:cs="Calibri"/>
              </w:rPr>
              <w:t xml:space="preserve"> "Преодоление последствий радиационных аварий на период до 2015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МЧС России - координатор, Рослесхоз, Минздрав России, Минсельхоз России, Роспотребнадзор, Росгидромет, МЧС России, Федеральное медико-биологическое агентство</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"Государственная граница Российской Федерации (2012 - 2020 годы)" (открытая часть федерального бюджета)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Росграница-координатор, Минобороны России, ФСБ России, Росграница</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40" w:history="1">
              <w:r w:rsidR="00703D06">
                <w:rPr>
                  <w:rFonts w:ascii="Calibri" w:hAnsi="Calibri" w:cs="Calibri"/>
                  <w:color w:val="0000FF"/>
                </w:rPr>
                <w:t>Программа</w:t>
              </w:r>
            </w:hyperlink>
            <w:r w:rsidR="00703D06">
              <w:rPr>
                <w:rFonts w:ascii="Calibri" w:hAnsi="Calibri" w:cs="Calibri"/>
              </w:rPr>
              <w:t xml:space="preserve"> "Создание системы обеспечения вызова экстренных оперативных служб по единому номеру "112" в Российской Федерации на 2013 - 2017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МЧС России - координатор, Минздрав России, Минкомсвязь России, МЧС России, МВД России, ФСБ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41" w:history="1">
              <w:r w:rsidR="00703D06">
                <w:rPr>
                  <w:rFonts w:ascii="Calibri" w:hAnsi="Calibri" w:cs="Calibri"/>
                  <w:color w:val="0000FF"/>
                </w:rPr>
                <w:t>Программа</w:t>
              </w:r>
            </w:hyperlink>
            <w:r w:rsidR="00703D06">
              <w:rPr>
                <w:rFonts w:ascii="Calibri" w:hAnsi="Calibri" w:cs="Calibri"/>
              </w:rPr>
              <w:t xml:space="preserve"> "Повышение безопасности дорожного движения в 2013 - 2020 годах"</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МВД России - координатор, Минпромторг России, Минздрав России, Минобрнауки России, Минтранс России, Росавтодор, МЧС России, МВД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42" w:history="1">
              <w:r w:rsidR="00703D06">
                <w:rPr>
                  <w:rFonts w:ascii="Calibri" w:hAnsi="Calibri" w:cs="Calibri"/>
                  <w:color w:val="0000FF"/>
                </w:rPr>
                <w:t>Программа</w:t>
              </w:r>
            </w:hyperlink>
            <w:r w:rsidR="00703D06">
              <w:rPr>
                <w:rFonts w:ascii="Calibri" w:hAnsi="Calibri" w:cs="Calibri"/>
              </w:rPr>
              <w:t xml:space="preserve"> "Пожарная безопасность в Российской Федерации на период до 2017 года"</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Рослесхоз, Минздрав России, Ространснадзор, МЧС России, Ростехнадзор, Государственная корпорация по атомной энергии "Росатом"</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Программа "Ликвидация накопленного экологического ущерба" на 2014 - 2025 годы (проект)</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Минприроды России - координатор, Минпромторг России, Минприроды России, Государственная корпорация по атомной энергии "Росатом"</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outlineLvl w:val="3"/>
              <w:rPr>
                <w:rFonts w:ascii="Calibri" w:hAnsi="Calibri" w:cs="Calibri"/>
              </w:rPr>
            </w:pPr>
            <w:bookmarkStart w:id="503" w:name="Par11590"/>
            <w:bookmarkEnd w:id="503"/>
            <w:r>
              <w:rPr>
                <w:rFonts w:ascii="Calibri" w:hAnsi="Calibri" w:cs="Calibri"/>
              </w:rPr>
              <w:t>Раздел 7. РАЗВИТИЕ ГОСУДАРСТВЕННЫХ ИНСТИТУТОВ</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Государственная </w:t>
            </w:r>
            <w:hyperlink r:id="rId243" w:history="1">
              <w:r>
                <w:rPr>
                  <w:rFonts w:ascii="Calibri" w:hAnsi="Calibri" w:cs="Calibri"/>
                  <w:color w:val="0000FF"/>
                </w:rPr>
                <w:t>программа</w:t>
              </w:r>
            </w:hyperlink>
            <w:r>
              <w:rPr>
                <w:rFonts w:ascii="Calibri" w:hAnsi="Calibri" w:cs="Calibri"/>
              </w:rPr>
              <w:t xml:space="preserve"> "Информационное общество (2011 - 2020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Минкомсвязь России - координатор, Минкультуры России, Минобрнауки России, Минэкономразвития России, ФСБ России, ФСО России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44" w:history="1">
              <w:r w:rsidR="00703D06">
                <w:rPr>
                  <w:rFonts w:ascii="Calibri" w:hAnsi="Calibri" w:cs="Calibri"/>
                  <w:color w:val="0000FF"/>
                </w:rPr>
                <w:t>Программа</w:t>
              </w:r>
            </w:hyperlink>
            <w:r w:rsidR="00703D06">
              <w:rPr>
                <w:rFonts w:ascii="Calibri" w:hAnsi="Calibri" w:cs="Calibri"/>
              </w:rPr>
              <w:t xml:space="preserve"> "Развитие судебной системы России на 2013 - 2020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Минэкономразвития России - координатор, Минэкономразвития России, Минюст России, ФССП России, Высший Арбитражный Суд Российской Федерации, Конституционный Суд Российской Федерации, Верховный Суд Российской Федерации, Судебный департамент при Верховном Суде Российской Федерации</w:t>
            </w:r>
          </w:p>
        </w:tc>
      </w:tr>
      <w:tr w:rsidR="00703D06">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427D1E">
            <w:pPr>
              <w:widowControl w:val="0"/>
              <w:autoSpaceDE w:val="0"/>
              <w:autoSpaceDN w:val="0"/>
              <w:adjustRightInd w:val="0"/>
              <w:spacing w:after="0" w:line="240" w:lineRule="auto"/>
              <w:jc w:val="both"/>
              <w:rPr>
                <w:rFonts w:ascii="Calibri" w:hAnsi="Calibri" w:cs="Calibri"/>
              </w:rPr>
            </w:pPr>
            <w:hyperlink r:id="rId245" w:history="1">
              <w:r w:rsidR="00703D06">
                <w:rPr>
                  <w:rFonts w:ascii="Calibri" w:hAnsi="Calibri" w:cs="Calibri"/>
                  <w:color w:val="0000FF"/>
                </w:rPr>
                <w:t>Программа</w:t>
              </w:r>
            </w:hyperlink>
            <w:r w:rsidR="00703D06">
              <w:rPr>
                <w:rFonts w:ascii="Calibri" w:hAnsi="Calibri" w:cs="Calibri"/>
              </w:rPr>
              <w:t xml:space="preserve"> "Развитие единой государственной системы регистрации прав и кадастрового учета недвижимости (2014 - 2019 годы)"</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Минэкономразвития России - координатор, Минкомсвязь России, Росимущество, ФНС России, Росреестр</w:t>
            </w:r>
          </w:p>
        </w:tc>
      </w:tr>
    </w:tbl>
    <w:p w:rsidR="00703D06" w:rsidRDefault="00703D06">
      <w:pPr>
        <w:widowControl w:val="0"/>
        <w:autoSpaceDE w:val="0"/>
        <w:autoSpaceDN w:val="0"/>
        <w:adjustRightInd w:val="0"/>
        <w:spacing w:after="0" w:line="240" w:lineRule="auto"/>
        <w:ind w:firstLine="540"/>
        <w:jc w:val="both"/>
        <w:rPr>
          <w:rFonts w:ascii="Calibri" w:hAnsi="Calibri" w:cs="Calibri"/>
        </w:rPr>
        <w:sectPr w:rsidR="00703D06">
          <w:pgSz w:w="16838" w:h="11905" w:orient="landscape"/>
          <w:pgMar w:top="1701" w:right="1134" w:bottom="850" w:left="1134"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504" w:name="Par11603"/>
      <w:bookmarkEnd w:id="504"/>
      <w:r>
        <w:rPr>
          <w:rFonts w:ascii="Calibri" w:hAnsi="Calibri" w:cs="Calibri"/>
        </w:rPr>
        <w:t>Приложение 11</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ПЕРЕЧЕНЬ</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ОБЛАСТНЫХ ГОСУДАРСТВЕННЫХ ПРОГРАММ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427D1E">
      <w:pPr>
        <w:widowControl w:val="0"/>
        <w:autoSpaceDE w:val="0"/>
        <w:autoSpaceDN w:val="0"/>
        <w:adjustRightInd w:val="0"/>
        <w:spacing w:after="0" w:line="240" w:lineRule="auto"/>
        <w:ind w:firstLine="540"/>
        <w:jc w:val="both"/>
        <w:rPr>
          <w:rFonts w:ascii="Calibri" w:hAnsi="Calibri" w:cs="Calibri"/>
        </w:rPr>
      </w:pPr>
      <w:hyperlink r:id="rId246" w:history="1">
        <w:r w:rsidR="00703D06">
          <w:rPr>
            <w:rFonts w:ascii="Calibri" w:hAnsi="Calibri" w:cs="Calibri"/>
            <w:color w:val="0000FF"/>
          </w:rPr>
          <w:t>Перечень</w:t>
        </w:r>
      </w:hyperlink>
      <w:r w:rsidR="00703D06">
        <w:rPr>
          <w:rFonts w:ascii="Calibri" w:hAnsi="Calibri" w:cs="Calibri"/>
        </w:rPr>
        <w:t xml:space="preserve"> областных государственных программ утвержден распоряжением Администрации Смоленской области от 9 октября 2013 года N 1534-р/адм.</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Областная государственная программа "Развитие здравоохранения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Областная государственная программа "Социальная поддержка граждан, проживающих на территории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Областная государственная программа "Развитие культуры и туризма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Областная государственная программа "Развитие образования и молодежной политики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Областная государственная программа "Развитие физической культуры и спорта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Областная 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Областная государственная программа "Обеспечение законности и правопорядка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Областная государственная программа "Развитие сельского хозяйства и регулирование рынков сельскохозяйственной продукции, сырья и продовольствия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Областная государственная программа "Развитие дорожно-транспортного комплекса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Областная государственная программа "Экономическое развитие Смоленской области, включая создание благоприятного предпринимательского и инвестиционного климата".</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Областная государственная программа "Информационное общество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Областная государственная программа "Внедрение спутниковых навигационных технологий с использованием системы ГЛОНАСС в интересах социально-экономического развития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Областная государственная программа "Местное самоуправление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Областная государственная программа "Управление имуществом и земельными ресурсами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Областная государственная программа "Содействие занятости населения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Областная государственная программа "Создание условий для обеспечения качественными услугами жилищно-коммунального хозяйства населения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Областная государственная программа "Создание условий для осуществления градостроительной деятельности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Областная государственная программа "Охрана окружающей среды и рациональное использование природных ресурсов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Областная государственная программа "Энергоэффективность и развитие энергетики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Областная государственная программа "Лесное хозяйство и животный мир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Областная государственная программа "Создание условий для эффективного государственного управления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Областная государственная программа "Повышение качества предоставления государственных и муниципальных услуг, в том числе на базе многофункциональных центров".</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Областная государственная программа "Управление государственными финансами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Областная государственная программа "Создание условий для эффективного и ответственного управления муниципальными финансами".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Областная государственная программа "Развитие информационного пространства и гражданского общества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Областная государственная программа "Обеспечение эпизоотического и ветеринарно-санитарного благополучия в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Областная государственная программа "Газификация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505" w:name="Par11641"/>
      <w:bookmarkEnd w:id="505"/>
      <w:r>
        <w:rPr>
          <w:rFonts w:ascii="Calibri" w:hAnsi="Calibri" w:cs="Calibri"/>
        </w:rPr>
        <w:t>Приложение 12</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506" w:name="Par11643"/>
      <w:bookmarkEnd w:id="506"/>
      <w:r>
        <w:rPr>
          <w:rFonts w:ascii="Calibri" w:hAnsi="Calibri" w:cs="Calibri"/>
          <w:b/>
          <w:bCs/>
        </w:rPr>
        <w:t>ОСНОВНЫЕ МИРОВЫЕ ВЫСТАВКИ</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ПРИОРИТЕТНЫМ ОТРАСЛЯМ ЭКОНОМИКИ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507" w:name="Par11646"/>
      <w:bookmarkEnd w:id="507"/>
      <w:r>
        <w:rPr>
          <w:rFonts w:ascii="Calibri" w:hAnsi="Calibri" w:cs="Calibri"/>
        </w:rPr>
        <w:t>Таблица 56</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Основные мировые выставки по приоритетным отраслям экономики</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Смоленской области</w:t>
      </w:r>
    </w:p>
    <w:p w:rsidR="00703D06" w:rsidRDefault="00703D06">
      <w:pPr>
        <w:widowControl w:val="0"/>
        <w:autoSpaceDE w:val="0"/>
        <w:autoSpaceDN w:val="0"/>
        <w:adjustRightInd w:val="0"/>
        <w:spacing w:after="0" w:line="240" w:lineRule="auto"/>
        <w:jc w:val="center"/>
        <w:rPr>
          <w:rFonts w:ascii="Calibri" w:hAnsi="Calibri" w:cs="Calibri"/>
        </w:rPr>
        <w:sectPr w:rsidR="00703D06">
          <w:pgSz w:w="11905" w:h="16838"/>
          <w:pgMar w:top="1134" w:right="850" w:bottom="1134" w:left="1701" w:header="720" w:footer="720" w:gutter="0"/>
          <w:cols w:space="720"/>
          <w:noEndnote/>
        </w:sectPr>
      </w:pP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84"/>
        <w:gridCol w:w="4309"/>
        <w:gridCol w:w="3288"/>
        <w:gridCol w:w="2721"/>
      </w:tblGrid>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Дата проведения</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выставки</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Тематика выставки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Место проведения</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29.03.14 - 06.04.14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ALMONEDA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искусства, реставрации, культуры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Испания, Мадрид</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30.03.14 - 02.04.14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AutoTechnica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транспортные: автомобили, авиация, катера, яхты, железнодорожный транспорт</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Бельгия, Брюссель</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30.03.14 - 04.04.14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Light + Building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выставка архитектуры и строительных технологий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Франкфурт-на-Майне</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ALIMENTARIA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Испания, Барселона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31.03.14 - 02.04.14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AFE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Пекин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Ecobuild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строительства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31.03.14 - 03.04.14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WinExpo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01.04.14 - 03.04.14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Sustainabilitylive! comprising of NEMEX, IWEX, EfW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биотехнологии, экологии. Охрана окружающей среды. Утилизация отходов.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Великобритания, Бирмингем</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01.04.14 - 24.04.14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SITL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неделя транспорта и логистики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 Париж</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02.04.14 - 06.04.14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LIGNO NOVUM - WOODTECH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выставка деревообрабатывающей промышленности и лесного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Венгрия, Будапешт</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04.04.14 - 06.04.14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TURISME-SITC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туристическая выставка в Каталонии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Испания, Барселона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MACH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станков, инструмента и производственных технологий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Великобритания, Бирмингем</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Tube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выставка-ярмарка трубной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Дюссельдорф</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07.04.14 - 11.04.14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HANNOVER MESSE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Ганновер</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08.04.14 - 09.04.14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MDD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 Париж</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08.04.14 - 10.04.14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CICE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продуктовые, пищевая промышленность, сельское хозяйство, табачные изделия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Пекин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08.04.14 - 10.04.14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Organic Food Industry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производства натуральных пищевых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Пекин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09.04.14 - 12.04.14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AERO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авиационные выставки, авиасалоны мира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Фридирихсхафен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13.04.14 - 14.04.14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Natural &amp; Organic Products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выставка натуральных европейских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Великобритания, Лондон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13.04.14 - 16.04.14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Melbourne PSWC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5-ый Всемирный конгресс фармацевтических наук</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Австралия, Мельбурн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STA 2014 Textile &amp; Apparel Trade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текстиля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CMEF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медицинского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19.04.14 - 21.04.14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CIMAE 2014 - Modern Agricultural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современного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greenEXPO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"зеленого" бизнеса, экологически чистых технологий и инноваций, устойчивой мобильности, возобновляемых источников энергии и сознательного образа жизни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Австрия, Вена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23.04.14 - 26.04.14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CHINAPLAS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энергетики, нефти и газа, химии, пластмассы, резины, природных ресурсов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VIV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технологий животноводства и переработки мяса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Индия, Бангалор</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28.04.14 - 30.04.14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MEDICAL WORLD AMERICAS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медицинская выставка. Хьюстон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США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28.04.14 - 30.04.14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BMExpo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строительных материалов, оборудования и технологий в Пекине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Пекин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04.05.14 - 10.05.14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Ecobuild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индийская выставка экологически чистого строительства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Индия, Бомбей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06.05.14 - 09.05.14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CONSTRUTEC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строительная ярмарка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Испания, Мадрид</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07.05.14 - 09.05.14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Blech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Сучжоу</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09.05.14 - 11.05.14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WTF 2014 - World Travel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спорта, туризма и отдыха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10.05.14 - 13.05.14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Vicenzaoro Spring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ювелирные выставки, выставки часов, сувениров, подарков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 Виченца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BreakBulk Europe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выставка по транспортным перевозкам и 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Бельгия, Антверпен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OTWorld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ортопедия - реабилитационные технологии - Международная специализированная выставка и конгресс</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Лейпциг</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XYLEXPO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деревообработки, целлюлозно-бумажной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 Милан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Engineering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Австралия, Сидней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AUTOMATION &amp; ENGINEERING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Бельгия, Антверпен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14.05.14 - 17.05.14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LAMIERA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 Болонья</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19.05.14 - 23.05.14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CeMAT Hannover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ведущая международная выставка по управлению грузопотоками и интралогистике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Ганновер</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19.05.14 - 22.05.14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Metal + Metallurgy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Пекин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EXPOSANITA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медицинские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 Болонья</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21.05.14 - 23.05.14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CILE 2014 - Logistics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логистики в Пекине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Пекин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03.06.14 - 06.06.14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AUTOMATICA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многоотраслевая промышленная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Мюнхен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03.06.14 - 05.06.14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SIL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логистики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Испания, Барселона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17.06.14 - 19.06.14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Transport Logistic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транспорта и логистики в Китае, Шанхай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19.06.14 - 22.06.14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Hong Kong Jewellery &amp; Gem Fair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ювелирные выставки, выставки часов, сувениров, подарков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Гонконг, Гонконг/Сянган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20.06.14 - 08.05.14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CIBUS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 продажа пищевых продуктов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 Парма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13.07.14 - 16.07.14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FoodPro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выставка продуктов питания и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Австралия, Мельбурн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24.07.14 - 26.07.14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Mould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Пекин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25.07.14 - 27.07.14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Food &amp; Technology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продуктовые, пищевой промышленности, сельского хозяйства, табачных изделий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Индия, Дели</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17.08.14 - 20.08.14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FARMER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сельского хозяйства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Венгрия, Дебрецен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20.08.14 - 22.08.14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Wood Structure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строительства экологически чистых деревянных домов</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04.09.14 - 07.09.14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INTERNATIONALE HOLZMESSE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деревообработки, целлюлозно-бумажной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Австрия, Вена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06.09.14 - 09.09.14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SANA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продуктовые, пищевой промышленности, сельского хозяйства, табачных изделий</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 Болонья</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MEDICAL FAIR ASIA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медицинские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Сингапур, Сингапур</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16.09.14 - 20.09.14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AMB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Штуттгарт</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16.09.14 - 19.09.14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MetalForm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Пекин</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21.09.14 - 23.09.14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InterCool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ярмарка замороженных продуктов, мороженого и технологий охлаждения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Дюссельдорф</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22.09.14 - 26.09.14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TECNARGILLA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технологий и материалов для производства керамики и кирпича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 Римини</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24.09.14 - 27.09.14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Tube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специализированная выставка труб</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24.09.14 - 27.09.14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Wire CHINA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специализированная выставка проволоки и кабеля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Китай, Шанхай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28.09.14 - 30.09.14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 FFA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ярмарка мясной торговли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Штуттгарт</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09.10.14 - 11.10.14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TTG INCONTRI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спорта, туризма и отдыха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Италия, Римини</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15.10.14 - 16.10.14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CEB(R) Clean Energy Building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и конференция, посвященные энергосберегающим технологиям в строительстве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Венгрия, Будапешт</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21.10.14 - 25.10.14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EuroBLECH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Германия, Ганновер</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WIRE &amp; CABLE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Индия, Бомбей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Metallurgy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Индия, Бомбей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Tube India International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труб и конференция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Индия, Бомбей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28.10.14 - 30.10.14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Welding and Cutting India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сварочного и металлорежущего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Индия, Бомбей</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01.11.14 - 01.11.14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Brussels Innova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профессиональная промышленная выставка новых технологий и инноваций в энергетике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Бельгия, Брюссель</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17.11.14 - 20.11.14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EXPOBOIS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деревообрабатывающего и лесопильного оборудования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Франция, Париж</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11.12.14 - 13.12.14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Indometal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выставки металлообработки, машиностроения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Индонезия, Джакарта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28.01.15 - 31.01.15</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South/Speciality Chemical Word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химической и нефтехимической продукции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Индия, Бомбей</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1"/>
        <w:rPr>
          <w:rFonts w:ascii="Calibri" w:hAnsi="Calibri" w:cs="Calibri"/>
        </w:rPr>
      </w:pPr>
      <w:bookmarkStart w:id="508" w:name="Par11956"/>
      <w:bookmarkEnd w:id="508"/>
      <w:r>
        <w:rPr>
          <w:rFonts w:ascii="Calibri" w:hAnsi="Calibri" w:cs="Calibri"/>
        </w:rPr>
        <w:t>Приложение 13</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b/>
          <w:bCs/>
        </w:rPr>
      </w:pPr>
      <w:bookmarkStart w:id="509" w:name="Par11958"/>
      <w:bookmarkEnd w:id="509"/>
      <w:r>
        <w:rPr>
          <w:rFonts w:ascii="Calibri" w:hAnsi="Calibri" w:cs="Calibri"/>
          <w:b/>
          <w:bCs/>
        </w:rPr>
        <w:t>ОСНОВНЫЕ ВЫСТАВКИ</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РОССИИ И СТРАН СНГ ПО ПРИОРИТЕТНЫМ ОТРАСЛЯМ ЭКОНОМИКИ</w:t>
      </w:r>
    </w:p>
    <w:p w:rsidR="00703D06" w:rsidRDefault="00703D0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right"/>
        <w:outlineLvl w:val="2"/>
        <w:rPr>
          <w:rFonts w:ascii="Calibri" w:hAnsi="Calibri" w:cs="Calibri"/>
        </w:rPr>
      </w:pPr>
      <w:bookmarkStart w:id="510" w:name="Par11962"/>
      <w:bookmarkEnd w:id="510"/>
      <w:r>
        <w:rPr>
          <w:rFonts w:ascii="Calibri" w:hAnsi="Calibri" w:cs="Calibri"/>
        </w:rPr>
        <w:t>Таблица 57</w:t>
      </w: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Основные выставки России и стран СНГ по приоритетным</w:t>
      </w:r>
    </w:p>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отраслям экономики Смоленской области</w:t>
      </w:r>
    </w:p>
    <w:p w:rsidR="00703D06" w:rsidRDefault="00703D06">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tblPr>
      <w:tblGrid>
        <w:gridCol w:w="1384"/>
        <w:gridCol w:w="4309"/>
        <w:gridCol w:w="3288"/>
        <w:gridCol w:w="2721"/>
      </w:tblGrid>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Дата проведения</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выставки</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Тематика выставки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center"/>
              <w:rPr>
                <w:rFonts w:ascii="Calibri" w:hAnsi="Calibri" w:cs="Calibri"/>
              </w:rPr>
            </w:pPr>
            <w:r>
              <w:rPr>
                <w:rFonts w:ascii="Calibri" w:hAnsi="Calibri" w:cs="Calibri"/>
              </w:rPr>
              <w:t>Место проведения</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09.04.14 - 12.04.14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ОТДЕЛОЧНЫЕ МАТЕРИАЛЫ. ДИЗАЙН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Саратов, Театральная площадь</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09.04.14 - 13.04.14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МИР АВТОМОБИЛЯ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С.-Петербург, Петербургский спортивно-концертный комплекс</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10.04.14 - 12.04.14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ЯНТУР: ТУРИЗМ. СПОРТ. ОТДЫХ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XVII-я Международная выставка Выездной и въездной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БАЛТИК-ЭКСПО</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MOSBUILD - 2014/МОСБИЛД - 2014 - вторая неделя</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Экспоцентр на Красной Пресне</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ДВИГАТЕЛИ/МФД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ГАО ВВЦ</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АНАЛИТИКА ЭКСПО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химического анализа, лабораторных технологий, бионауки и диагностики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Сокольники, КВЦ</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ВЕСЕННИЙ ТОРЖОК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межрегиональная выставка-ярмарка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Архангельск, "Поморская ярмарка"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ОБРАЗОВАНИЕ И КАРЬЕРА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специализированная 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Армения, Ереван Logos Expo Center</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16.04.14 - 18.04.14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ЭНЕРГОЭФФЕКТИВНОСТЬ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электротехника, электроника, электроэнергетика, нанотехнологии, новые технологии, приборостроение, радиоэлектроника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Саратов, Театральная Площадь</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16.04.14 - 19.04.14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ДОМ. КОТТЕДЖ. МЕБЕЛЬ. ИНТЕРЬЕР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Тольятти, ЭКСПО-Тольятти, УСК "Олимп"</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17.04.14 - 19.04.14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КРАНЭКСПО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ГАО ВВЦ</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ТУРИЗМ. СПОРТ. ОТДЫХ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туристические выставки: спорт, отдых,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Ижевск, "УДМУРТИЯ" ВЦ</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17.04.14 - 20.04.14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Загородный дом. Ландшафтный дизайн. Деревообработка. Озеленение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охоты и рыбалки выставки, животных и растений, ветеринария, ландшафт, садоводство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Челябинск, ТРК "Гагарин Парк"</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22.04.14 - 24.04.14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УРАЛЭКСПОКАМЕНЬ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Екатеринбург, МВЦ "Екатеринбург-ЭКСПО"</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ТРАНСРОССИЯ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19-я международная выставка и конференция по транспорту и логистике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КРОКУС ЭКСПО</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ИНТЕГРАЦИЯ. ЖИЗНЬ. ОБЩЕСТВО-2014 ИНТЕГРАЦИЯ. ЖИЗНЬ. ОБЩЕСТВО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специализированная выставка реабилитационного оборудования и технологий и конгресс, посвященный актуальным проблемам людей с ограниченными возможностями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Экспоцентр на Красной Пресне</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23.04.14 - 25.04.14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ГОСЗАКАЗ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всероссийский форум-выставка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КРОКУС ЭКСПО</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Нефть и Газ Узбекистана - OGU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Узбекистан, Ташкент, Узэкспоцентр НВК</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13.05.14 - 15.05.14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Power Uzbekistan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Энергетика, энергосбережение, альтернативные источники энергии, силовая 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Узбекистан, Ташкент, Узэкспоцентр НВК</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13.05.14 - 16.05.14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МАЛОЭТАЖНОЕ ДОМОСТРОЕНИЕ. СТРОИТЕЛЬНЫЕ И ОТДЕЛОЧНЫЕ МАТЕРИАЛЫ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Красноярск, Сибирь, МВДЦ</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15.05.14 - 17.05.14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МЕДИЦИНА ДЛЯ ВАС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Саратов, Манеж Дворца спорта ул. Чернышевского, д. 63</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20.05.14 - 22.05.14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HOREBA MOSCOW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Оборудование для АПК (агропромышленного комплекса), предприятий общественного питания, ресторанов, отелей, торговое и холодильное оборудование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КРОКУС ЭКСПО</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СТРОЙИНДУСТРИЯ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Сочи, Морвокзал, Южный мол</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21.05.14 - 24.05.14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МИР ЗДОРОВЬЯ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Украина "Экспоцентр Украины"</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WORLDFOOD AZERBAIJAN/Пищевая Промышленность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Азербайджан: Баку Iteca Caspian LLC</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22.05.14 - 24.05.14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PLASTEX CASPIAN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Азербайджан: Баку Iteca Caspian LLC</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26.05.14 - 29.05.14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НЕФТЕГАЗ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Экспоцентр на Красной Пресне</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27.05.14 - 30.05.14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ВСЕРОССИЙСКАЯ МАРКА (III ТЫСЯЧЕЛЕТИЕ). ЗНАК КАЧЕСТВА XXI ВЕКА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ГАО ВВЦ</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28.05.14 - 30.05.14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Машиностроение. Металлообработка. Сварка. Металлургия. Горное дело. ПромИнновации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Челябинск, ДС "Юность"</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28.05.14 - 31.05.14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ИНДУСТРИЯ ГОСТЕПРИИМСТВА И РАЗВЛЕЧЕНИЙ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гостиничные выставки. Ресторанный бизнес</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Сочи, Морвокзал, Южный мол</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28.05.14 - 31.05.14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ExpoFood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Сочи, Морвокзал, Южный мол</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03.06.14 - 06.06.14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МЕТАЛЛУРГИЯ-ЛИТМАШ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международная выставка машин, оборудования, технологий и продукции металлургической промышленности</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Экспоцентр на Красной Пресне</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04.06.14 - 06.06.14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EXPO-RUSSIA Kazakhstan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Казахстан, Rixos Almaty</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12.06.14 - 14.06.14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ROAD AND TRAFFIC/Дорожная Инфраструктура и Общественный Траснпорт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Азербайджан: Баку Iteca Caspian LLC</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12.06.14 - 14.06.14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TRANSCASPIAN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Азербайджан: Баку Iteca Caspian LLC</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16.06.14 - 20.06.14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МЕТАЛЛООБРАБОТКА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Экспоцентр на Красной Пресне</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17.06.14 - 20.06.14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электротехника, электроника, электроэнергетика, нанотехнологии, новые технологии, приборостроение, радиоэлектроника</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Экспоцентр на Красной Пресне</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18.06.14 - 21.06.14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ЗДОРОВЬЕ РОССИИ. Сочи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Сочи, Морвокзал, Южный мол</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18.06.14 - 21.06.14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МЕДИЦИНА - СЕГОДНЯ И ЗАВТРА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медицинские выставки: медицинского оборудования, оптики. Лечебная и хирургическая косметология: стоматология</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Сочи, Морвокзал, Южный мол</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04.09.14 - 07.09.14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TRANS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Армения, Ереван Logos Expo Center</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ОТДЫХ И РАЗВЛЕЧЕНИЯ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туристические выставки: спорт, отдых, туризм</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Армения, Ереван Logos Expo Center</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ИНДУСТРИАЛЬНАЯ АРМЕНИЯ EXPO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промышленные выставки, производственно-технические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Армения, Ереван Logos Expo Center</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05.09.14 - 07.09.14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EXPO FOOD &amp; DRINKS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Армения, Ереван Logos Expo Center</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08.09.14 - 11.09.14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INTERLOGISTIKA/ИНТЕРЛОГИСТИКА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транспортные выставки, автомобили, воздушный, водный, железнодорожный транспорт, автосервис, автозапчасти, логистика, склад</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КРОКУС ЭКСПО</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НЕФТЬ. ГАЗ. ХИМИЯ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Ижевск, "УДМУРТИЯ" ВЦ</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09.09.14 - 11.09.14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МАШИНОСТРОЕНИЕ. МЕТАЛЛУРГИЯ. МЕТАЛЛООБРАБОТКА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металлообработка, машиностроение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Ижевск, "УДМУРТИЯ" ВЦ</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15.09.14 - 18.09.14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ВЕСЬ МИР ПИТАНИЯ/WORLD FOOD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продуктовые выставки, пищевая промышленность, сельское хозяйство</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Москва, Экспоцентр на Красной Пресне</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16.09.14 - 18.09.14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АВТОМАТИЗАЦИЯ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строительство: материалы, сантехника, кондиционирование, отопление, энергосбережение, вентиляция, городское хозяйство, дороги, архитектура и дизайн</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Новосибирск Экспоцентр</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16.09.14 - 19.09.14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СИБЛЕСОПОЛЬЗОВАНИЕ. ДЕРЕВООБРАБОТКА. ДЕРЕВЯННОЕ ДОМОСТРОЕНИЕ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деревообработка, целлюлозно-бумажная промышленность</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Иркутск, ОАО "Сибэкспоцентр"</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23.09.14 - 25.09.14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Агро-Лаб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международный Форум - выставка "Экологический стандарт качества и безопасности продукции - шаг в будущее"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Украина, КиевЭкспоПлаза</w:t>
            </w:r>
          </w:p>
        </w:tc>
      </w:tr>
      <w:tr w:rsidR="00703D06">
        <w:tc>
          <w:tcPr>
            <w:tcW w:w="1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23.09.14 - 25.09.14</w:t>
            </w:r>
          </w:p>
        </w:tc>
        <w:tc>
          <w:tcPr>
            <w:tcW w:w="43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В ПРОМЫШЛЕННОСТИ - 2014</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энергетика, нефть и газ, химия, пластмассы, резины, природные ресурсы</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3D06" w:rsidRDefault="00703D06">
            <w:pPr>
              <w:widowControl w:val="0"/>
              <w:autoSpaceDE w:val="0"/>
              <w:autoSpaceDN w:val="0"/>
              <w:adjustRightInd w:val="0"/>
              <w:spacing w:after="0" w:line="240" w:lineRule="auto"/>
              <w:jc w:val="both"/>
              <w:rPr>
                <w:rFonts w:ascii="Calibri" w:hAnsi="Calibri" w:cs="Calibri"/>
              </w:rPr>
            </w:pPr>
            <w:r>
              <w:rPr>
                <w:rFonts w:ascii="Calibri" w:hAnsi="Calibri" w:cs="Calibri"/>
              </w:rPr>
              <w:t>Украина, Киев, МВЦ</w:t>
            </w:r>
          </w:p>
        </w:tc>
      </w:tr>
    </w:tbl>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autoSpaceDE w:val="0"/>
        <w:autoSpaceDN w:val="0"/>
        <w:adjustRightInd w:val="0"/>
        <w:spacing w:after="0" w:line="240" w:lineRule="auto"/>
        <w:ind w:firstLine="540"/>
        <w:jc w:val="both"/>
        <w:rPr>
          <w:rFonts w:ascii="Calibri" w:hAnsi="Calibri" w:cs="Calibri"/>
        </w:rPr>
      </w:pPr>
    </w:p>
    <w:p w:rsidR="00703D06" w:rsidRDefault="00703D06">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F1C87" w:rsidRDefault="003F1C87"/>
    <w:sectPr w:rsidR="003F1C87" w:rsidSect="000625FC">
      <w:pgSz w:w="16838" w:h="11905" w:orient="landscape"/>
      <w:pgMar w:top="1701" w:right="1134" w:bottom="850"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03D06"/>
    <w:rsid w:val="000625FC"/>
    <w:rsid w:val="000F414C"/>
    <w:rsid w:val="0032513F"/>
    <w:rsid w:val="003F1C87"/>
    <w:rsid w:val="00427D1E"/>
    <w:rsid w:val="00703D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C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3D06"/>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703D0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703D06"/>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703D06"/>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C1B596C41DAE728B6828F837B4FF054A62D4FEE4D8B27EF8885C473w7hFI" TargetMode="External"/><Relationship Id="rId21" Type="http://schemas.openxmlformats.org/officeDocument/2006/relationships/hyperlink" Target="consultantplus://offline/ref=4C1B596C41DAE728B69C82951712FA53AA704AE14B8478B0D7DE992476C7BDE5215EC343BE6352B9248Cw0h6I" TargetMode="External"/><Relationship Id="rId42" Type="http://schemas.openxmlformats.org/officeDocument/2006/relationships/hyperlink" Target="consultantplus://offline/ref=4C1B596C41DAE728B6828F837B4FF054A52C42E0498B27EF8885C473w7hFI" TargetMode="External"/><Relationship Id="rId63" Type="http://schemas.openxmlformats.org/officeDocument/2006/relationships/hyperlink" Target="consultantplus://offline/ref=4C1B596C41DAE728B6828F837B4FF054A72D43E24F8B27EF8885C4737FCDEAA26E078107B3605AwBh8I" TargetMode="External"/><Relationship Id="rId84" Type="http://schemas.openxmlformats.org/officeDocument/2006/relationships/hyperlink" Target="consultantplus://offline/ref=4C1B596C41DAE728B6828F837B4FF054A52743EF4F8B27EF8885C4737FCDEAA26E07w8h6I" TargetMode="External"/><Relationship Id="rId138" Type="http://schemas.openxmlformats.org/officeDocument/2006/relationships/image" Target="media/image15.png"/><Relationship Id="rId159" Type="http://schemas.openxmlformats.org/officeDocument/2006/relationships/hyperlink" Target="consultantplus://offline/ref=4C1B596C41DAE728B69C82951712FA53AA704AE04E8072B4D7DE992476C7BDE5215EC343BE6357BC258Cw0hAI" TargetMode="External"/><Relationship Id="rId170" Type="http://schemas.openxmlformats.org/officeDocument/2006/relationships/image" Target="media/image21.png"/><Relationship Id="rId191" Type="http://schemas.openxmlformats.org/officeDocument/2006/relationships/hyperlink" Target="consultantplus://offline/ref=4C1B596C41DAE728B6828F837B4FF054A72842E34C8B27EF8885C4737FCDEAA26E078107B36253wBh9I" TargetMode="External"/><Relationship Id="rId205" Type="http://schemas.openxmlformats.org/officeDocument/2006/relationships/hyperlink" Target="consultantplus://offline/ref=4C1B596C41DAE728B6828F837B4FF054A62E45E44B8B27EF8885C4737FCDEAA26E078107B26651wBh0I" TargetMode="External"/><Relationship Id="rId226" Type="http://schemas.openxmlformats.org/officeDocument/2006/relationships/hyperlink" Target="consultantplus://offline/ref=4C1B596C41DAE728B6828F837B4FF054A52846EF4C8B27EF8885C4737FCDEAA26E078107B36252wBh1I" TargetMode="External"/><Relationship Id="rId247" Type="http://schemas.openxmlformats.org/officeDocument/2006/relationships/fontTable" Target="fontTable.xml"/><Relationship Id="rId107" Type="http://schemas.openxmlformats.org/officeDocument/2006/relationships/hyperlink" Target="consultantplus://offline/ref=4C1B596C41DAE728B69C82951712FA53AA704AE04F8578B5D7DE992476C7BDE5215EC343BE6352B9248Cw0h8I" TargetMode="External"/><Relationship Id="rId11" Type="http://schemas.openxmlformats.org/officeDocument/2006/relationships/hyperlink" Target="consultantplus://offline/ref=4C1B596C41DAE728B69C82951712FA53AA704AE34A8775B3D7DE992476C7BDE5215EC343BE6352B9248Cw0h8I" TargetMode="External"/><Relationship Id="rId32" Type="http://schemas.openxmlformats.org/officeDocument/2006/relationships/hyperlink" Target="consultantplus://offline/ref=4C1B596C41DAE728B6828F837B4FF054A62B43E74C8B27EF8885C4737FCDEAA26E078107B56B53wBhFI" TargetMode="External"/><Relationship Id="rId53" Type="http://schemas.openxmlformats.org/officeDocument/2006/relationships/hyperlink" Target="consultantplus://offline/ref=4C1B596C41DAE728B6828F837B4FF054A72741E44C8B27EF8885C4737FCDEAA26E078107B36256wBhDI" TargetMode="External"/><Relationship Id="rId74" Type="http://schemas.openxmlformats.org/officeDocument/2006/relationships/hyperlink" Target="consultantplus://offline/ref=4C1B596C41DAE728B6828F837B4FF054A62B47EE4B8B27EF8885C4737FCDEAA26E078107B26A51wBh0I" TargetMode="External"/><Relationship Id="rId128" Type="http://schemas.openxmlformats.org/officeDocument/2006/relationships/image" Target="media/image5.png"/><Relationship Id="rId149" Type="http://schemas.openxmlformats.org/officeDocument/2006/relationships/hyperlink" Target="consultantplus://offline/ref=4C1B596C41DAE728B6828F837B4FF054A62D45E0418B27EF8885C4737FCDEAA26E078107B36253wBh9I" TargetMode="External"/><Relationship Id="rId5" Type="http://schemas.openxmlformats.org/officeDocument/2006/relationships/hyperlink" Target="consultantplus://offline/ref=4C1B596C41DAE728B69C82951712FA53AA704AE04F8676B1D7DE992476C7BDwEh5I" TargetMode="External"/><Relationship Id="rId95" Type="http://schemas.openxmlformats.org/officeDocument/2006/relationships/hyperlink" Target="consultantplus://offline/ref=4C1B596C41DAE728B6828F837B4FF054A7264FE44F8B27EF8885C4737FCDEAA26E078107B36253wBh8I" TargetMode="External"/><Relationship Id="rId160" Type="http://schemas.openxmlformats.org/officeDocument/2006/relationships/image" Target="media/image18.png"/><Relationship Id="rId181" Type="http://schemas.openxmlformats.org/officeDocument/2006/relationships/hyperlink" Target="consultantplus://offline/ref=4C1B596C41DAE728B69C82951712FA53AA704AE04A8978B6D7DE992476C7BDE5215EC343BE6352B9248Cw0h6I" TargetMode="External"/><Relationship Id="rId216" Type="http://schemas.openxmlformats.org/officeDocument/2006/relationships/hyperlink" Target="consultantplus://offline/ref=4C1B596C41DAE728B6828F837B4FF054A62A44E34D8B27EF8885C4737FCDEAA26E078107B36253wBhBI" TargetMode="External"/><Relationship Id="rId237" Type="http://schemas.openxmlformats.org/officeDocument/2006/relationships/hyperlink" Target="consultantplus://offline/ref=4C1B596C41DAE728B6828F837B4FF054A72647E3498B27EF8885C4737FCDEAA26E078107B36252wBhFI" TargetMode="External"/><Relationship Id="rId22" Type="http://schemas.openxmlformats.org/officeDocument/2006/relationships/hyperlink" Target="consultantplus://offline/ref=4C1B596C41DAE728B6828F837B4FF054A62D45E0418B27EF8885C4737FCDEAA26E078107B36253wBh9I" TargetMode="External"/><Relationship Id="rId43" Type="http://schemas.openxmlformats.org/officeDocument/2006/relationships/hyperlink" Target="consultantplus://offline/ref=4C1B596C41DAE728B6828F837B4FF054A72D47EE4E8B27EF8885C4737FCDEAA26E078107B36252wBhEI" TargetMode="External"/><Relationship Id="rId64" Type="http://schemas.openxmlformats.org/officeDocument/2006/relationships/hyperlink" Target="consultantplus://offline/ref=4C1B596C41DAE728B6828F837B4FF054A72D43E24F8B27EF8885C4737FCDEAA26E078107B3605BwBhFI" TargetMode="External"/><Relationship Id="rId118" Type="http://schemas.openxmlformats.org/officeDocument/2006/relationships/hyperlink" Target="consultantplus://offline/ref=4C1B596C41DAE728B6828F837B4FF054A72846E54F8B27EF8885C473w7hFI" TargetMode="External"/><Relationship Id="rId139" Type="http://schemas.openxmlformats.org/officeDocument/2006/relationships/image" Target="media/image16.png"/><Relationship Id="rId85" Type="http://schemas.openxmlformats.org/officeDocument/2006/relationships/hyperlink" Target="consultantplus://offline/ref=4C1B596C41DAE728B6828F837B4FF054A52E42E5488B27EF8885C4737FCDEAA26E0782w0h4I" TargetMode="External"/><Relationship Id="rId150" Type="http://schemas.openxmlformats.org/officeDocument/2006/relationships/hyperlink" Target="consultantplus://offline/ref=4C1B596C41DAE728B6828F837B4FF054A52743EF4F8B27EF8885C4737FCDEAA26E07w8h6I" TargetMode="External"/><Relationship Id="rId171" Type="http://schemas.openxmlformats.org/officeDocument/2006/relationships/image" Target="media/image22.png"/><Relationship Id="rId192" Type="http://schemas.openxmlformats.org/officeDocument/2006/relationships/hyperlink" Target="consultantplus://offline/ref=4C1B596C41DAE728B6828F837B4FF054A62F44E54D8B27EF8885C4737FCDEAA26E078107B26451wBh9I" TargetMode="External"/><Relationship Id="rId206" Type="http://schemas.openxmlformats.org/officeDocument/2006/relationships/hyperlink" Target="consultantplus://offline/ref=4C1B596C41DAE728B6828F837B4FF054A62E45E44B8B27EF8885C4737FCDEAA26E078107B36252wBh0I" TargetMode="External"/><Relationship Id="rId227" Type="http://schemas.openxmlformats.org/officeDocument/2006/relationships/hyperlink" Target="consultantplus://offline/ref=4C1B596C41DAE728B6828F837B4FF054A7264FE44F8B27EF8885C4737FCDEAA26E078107B36253wBh8I" TargetMode="External"/><Relationship Id="rId248" Type="http://schemas.openxmlformats.org/officeDocument/2006/relationships/theme" Target="theme/theme1.xml"/><Relationship Id="rId12" Type="http://schemas.openxmlformats.org/officeDocument/2006/relationships/hyperlink" Target="consultantplus://offline/ref=4C1B596C41DAE728B69C82951712FA53AA704AE24F8079BAD7DE992476C7BDE5215EC343BE6352B9248Dw0hCI" TargetMode="External"/><Relationship Id="rId17" Type="http://schemas.openxmlformats.org/officeDocument/2006/relationships/hyperlink" Target="consultantplus://offline/ref=4C1B596C41DAE728B69C82951712FA53AA704AE14B8677B6D7DE992476C7BDE5215EC343BE6352B8268Aw0hAI" TargetMode="External"/><Relationship Id="rId33" Type="http://schemas.openxmlformats.org/officeDocument/2006/relationships/hyperlink" Target="consultantplus://offline/ref=4C1B596C41DAE728B6828F837B4FF054A62B43E74C8B27EF8885C4737FCDEAA26E078107B56B53wBhFI" TargetMode="External"/><Relationship Id="rId38" Type="http://schemas.openxmlformats.org/officeDocument/2006/relationships/hyperlink" Target="consultantplus://offline/ref=4C1B596C41DAE728B6828F837B4FF054A5264FE1488B27EF8885C4737FCDEAA26E078107B36252wBh0I" TargetMode="External"/><Relationship Id="rId59" Type="http://schemas.openxmlformats.org/officeDocument/2006/relationships/hyperlink" Target="consultantplus://offline/ref=4C1B596C41DAE728B6828F837B4FF054A62B47EE4B8B27EF8885C4737FCDEAA26E078107B26A56wBhCI" TargetMode="External"/><Relationship Id="rId103" Type="http://schemas.openxmlformats.org/officeDocument/2006/relationships/hyperlink" Target="consultantplus://offline/ref=4C1B596C41DAE728B6828F837B4FF054A72842E34C8B27EF8885C4737FCDEAA26E078107B36253wBh9I" TargetMode="External"/><Relationship Id="rId108" Type="http://schemas.openxmlformats.org/officeDocument/2006/relationships/hyperlink" Target="consultantplus://offline/ref=4C1B596C41DAE728B69C82951712FA53AA704AE04E8072B4D7DE992476C7BDE5215EC343BE6357BC258Cw0hAI" TargetMode="External"/><Relationship Id="rId124" Type="http://schemas.openxmlformats.org/officeDocument/2006/relationships/hyperlink" Target="consultantplus://offline/ref=4C1B596C41DAE728B6828F837B4FF054A72846E54F8B27EF8885C473w7hFI" TargetMode="External"/><Relationship Id="rId129" Type="http://schemas.openxmlformats.org/officeDocument/2006/relationships/image" Target="media/image6.png"/><Relationship Id="rId54" Type="http://schemas.openxmlformats.org/officeDocument/2006/relationships/hyperlink" Target="consultantplus://offline/ref=4C1B596C41DAE728B6828F837B4FF054A62C47E3498B27EF8885C4737FCDEAA26E078107B7645AwBhAI" TargetMode="External"/><Relationship Id="rId70" Type="http://schemas.openxmlformats.org/officeDocument/2006/relationships/hyperlink" Target="consultantplus://offline/ref=4C1B596C41DAE728B6828F837B4FF054A62B47EE4B8B27EF8885C4737FCDEAA26E078107B26A56wBhCI" TargetMode="External"/><Relationship Id="rId75" Type="http://schemas.openxmlformats.org/officeDocument/2006/relationships/hyperlink" Target="consultantplus://offline/ref=4C1B596C41DAE728B6828F837B4FF054A72741E44C8B27EF8885C4737FCDEAA26E078107B26653wBhFI" TargetMode="External"/><Relationship Id="rId91" Type="http://schemas.openxmlformats.org/officeDocument/2006/relationships/hyperlink" Target="consultantplus://offline/ref=4C1B596C41DAE728B6828F837B4FF054A42E45E1488B27EF8885C4737FCDEAA26E078107B36253wBh9I" TargetMode="External"/><Relationship Id="rId96" Type="http://schemas.openxmlformats.org/officeDocument/2006/relationships/hyperlink" Target="consultantplus://offline/ref=4C1B596C41DAE728B6828F837B4FF054A62F42E74E8B27EF8885C4737FCDEAA26E078107B36252wBh0I" TargetMode="External"/><Relationship Id="rId140" Type="http://schemas.openxmlformats.org/officeDocument/2006/relationships/hyperlink" Target="consultantplus://offline/ref=4C1B596C41DAE728B6828F837B4FF054A72846E54F8B27EF8885C473w7hFI" TargetMode="External"/><Relationship Id="rId145" Type="http://schemas.openxmlformats.org/officeDocument/2006/relationships/hyperlink" Target="consultantplus://offline/ref=4C1B596C41DAE728B6828F837B4FF054A62D4EE74A8B27EF8885C4737FCDEAA26E078107B36253wBh9I" TargetMode="External"/><Relationship Id="rId161" Type="http://schemas.openxmlformats.org/officeDocument/2006/relationships/image" Target="media/image19.png"/><Relationship Id="rId166" Type="http://schemas.openxmlformats.org/officeDocument/2006/relationships/hyperlink" Target="consultantplus://offline/ref=4C1B596C41DAE728B69C82951712FA53AA704AE14B8174B0D7DE992476C7BDE5215EC343BE6352B9248Cw0h6I" TargetMode="External"/><Relationship Id="rId182" Type="http://schemas.openxmlformats.org/officeDocument/2006/relationships/hyperlink" Target="consultantplus://offline/ref=4C1B596C41DAE728B69C82951712FA53AA704AE14B8873B0D7DE992476C7BDE5215EC343BE6352B82589w0hFI" TargetMode="External"/><Relationship Id="rId187" Type="http://schemas.openxmlformats.org/officeDocument/2006/relationships/image" Target="media/image32.png"/><Relationship Id="rId217" Type="http://schemas.openxmlformats.org/officeDocument/2006/relationships/hyperlink" Target="consultantplus://offline/ref=4C1B596C41DAE728B6828F837B4FF054A62A44E3408B27EF8885C4737FCDEAA26E078107B36252wBh0I" TargetMode="External"/><Relationship Id="rId1" Type="http://schemas.openxmlformats.org/officeDocument/2006/relationships/styles" Target="styles.xml"/><Relationship Id="rId6" Type="http://schemas.openxmlformats.org/officeDocument/2006/relationships/hyperlink" Target="consultantplus://offline/ref=4C1B596C41DAE728B69C82951712FA53AA704AE04F8577BAD7DE992476C7BDE5215EC343BE6352B9248Cw0h8I" TargetMode="External"/><Relationship Id="rId212" Type="http://schemas.openxmlformats.org/officeDocument/2006/relationships/hyperlink" Target="consultantplus://offline/ref=4C1B596C41DAE728B6828F837B4FF054A62D40E1498B27EF8885C4737FCDEAA26E078103B265w5h1I" TargetMode="External"/><Relationship Id="rId233" Type="http://schemas.openxmlformats.org/officeDocument/2006/relationships/hyperlink" Target="consultantplus://offline/ref=4C1B596C41DAE728B6828F837B4FF054A52D43E24D8B27EF8885C4737FCDEAA26E078107B26B54wBh0I" TargetMode="External"/><Relationship Id="rId238" Type="http://schemas.openxmlformats.org/officeDocument/2006/relationships/hyperlink" Target="consultantplus://offline/ref=4C1B596C41DAE728B6828F837B4FF054A02D42E24C8B27EF8885C4737FCDEAA26E078107B36252wBh1I" TargetMode="External"/><Relationship Id="rId23" Type="http://schemas.openxmlformats.org/officeDocument/2006/relationships/hyperlink" Target="consultantplus://offline/ref=4C1B596C41DAE728B6828F837B4FF054A42A43E44D8B27EF8885C473w7hFI" TargetMode="External"/><Relationship Id="rId28" Type="http://schemas.openxmlformats.org/officeDocument/2006/relationships/hyperlink" Target="consultantplus://offline/ref=4C1B596C41DAE728B6828F837B4FF054A72741E44C8B27EF8885C4737FCDEAA26E078107B26757wBhFI" TargetMode="External"/><Relationship Id="rId49" Type="http://schemas.openxmlformats.org/officeDocument/2006/relationships/hyperlink" Target="consultantplus://offline/ref=4C1B596C41DAE728B6828F837B4FF054A72D43E24F8B27EF8885C4737FCDEAA26E078107B3665BwBhEI" TargetMode="External"/><Relationship Id="rId114" Type="http://schemas.openxmlformats.org/officeDocument/2006/relationships/hyperlink" Target="consultantplus://offline/ref=4C1B596C41DAE728B69C82951712FA53AA704AE04C8379B5D7DE992476C7BDE5215EC343BE6352B9248Cw0h6I" TargetMode="External"/><Relationship Id="rId119" Type="http://schemas.openxmlformats.org/officeDocument/2006/relationships/hyperlink" Target="consultantplus://offline/ref=4C1B596C41DAE728B69C82951712FA53AA704AE0488570BBD7DE992476C7BDwEh5I" TargetMode="External"/><Relationship Id="rId44" Type="http://schemas.openxmlformats.org/officeDocument/2006/relationships/hyperlink" Target="consultantplus://offline/ref=4C1B596C41DAE728B6828F837B4FF054A42C43E5498B27EF8885C4737FCDEAA26E078107B36253wBhFI" TargetMode="External"/><Relationship Id="rId60" Type="http://schemas.openxmlformats.org/officeDocument/2006/relationships/hyperlink" Target="consultantplus://offline/ref=4C1B596C41DAE728B6828F837B4FF054A42B41E74D8B27EF8885C4737FCDEAA26E078107B36155wBh8I" TargetMode="External"/><Relationship Id="rId65" Type="http://schemas.openxmlformats.org/officeDocument/2006/relationships/hyperlink" Target="consultantplus://offline/ref=4C1B596C41DAE728B6828F837B4FF054A72D43E24F8B27EF8885C4737FCDEAA26E078107B36151wBhAI" TargetMode="External"/><Relationship Id="rId81" Type="http://schemas.openxmlformats.org/officeDocument/2006/relationships/hyperlink" Target="consultantplus://offline/ref=4C1B596C41DAE728B6828F837B4FF054A62B43E74C8B27EF8885C4737FCDEAA26E078107B36456wBhBI" TargetMode="External"/><Relationship Id="rId86" Type="http://schemas.openxmlformats.org/officeDocument/2006/relationships/hyperlink" Target="consultantplus://offline/ref=4C1B596C41DAE728B6828F837B4FF054A62A44E34D8B27EF8885C4737FCDEAA26E078107B36253wBhBI" TargetMode="External"/><Relationship Id="rId130" Type="http://schemas.openxmlformats.org/officeDocument/2006/relationships/image" Target="media/image7.wmf"/><Relationship Id="rId135" Type="http://schemas.openxmlformats.org/officeDocument/2006/relationships/image" Target="media/image12.wmf"/><Relationship Id="rId151" Type="http://schemas.openxmlformats.org/officeDocument/2006/relationships/hyperlink" Target="consultantplus://offline/ref=4C1B596C41DAE728B69C82951712FA53AA704AE0488570BBD7DE992476C7BDwEh5I" TargetMode="External"/><Relationship Id="rId156" Type="http://schemas.openxmlformats.org/officeDocument/2006/relationships/hyperlink" Target="consultantplus://offline/ref=4C1B596C41DAE728B6828F837B4FF05CA82F41E642D62DE7D189C6747092FDA5270B8007B363w5h2I" TargetMode="External"/><Relationship Id="rId177" Type="http://schemas.openxmlformats.org/officeDocument/2006/relationships/image" Target="media/image27.png"/><Relationship Id="rId198" Type="http://schemas.openxmlformats.org/officeDocument/2006/relationships/hyperlink" Target="consultantplus://offline/ref=4C1B596C41DAE728B6828F837B4FF054A02841E4418B27EF8885C4737FCDEAA26E078107B36750wBhBI" TargetMode="External"/><Relationship Id="rId172" Type="http://schemas.openxmlformats.org/officeDocument/2006/relationships/image" Target="media/image23.png"/><Relationship Id="rId193" Type="http://schemas.openxmlformats.org/officeDocument/2006/relationships/hyperlink" Target="consultantplus://offline/ref=4C1B596C41DAE728B6828F837B4FF054A72645E44E8B27EF8885C4737FCDEAA26E078107B36253wBh9I" TargetMode="External"/><Relationship Id="rId202" Type="http://schemas.openxmlformats.org/officeDocument/2006/relationships/hyperlink" Target="consultantplus://offline/ref=4C1B596C41DAE728B6828F837B4FF054A62E45E44B8B27EF8885C4737FCDEAA26E078107B26350wBhAI" TargetMode="External"/><Relationship Id="rId207" Type="http://schemas.openxmlformats.org/officeDocument/2006/relationships/hyperlink" Target="consultantplus://offline/ref=4C1B596C41DAE728B6828F837B4FF054A62D40E1498B27EF8885C4737FCDEAA26E078105B1665BwBh0I" TargetMode="External"/><Relationship Id="rId223" Type="http://schemas.openxmlformats.org/officeDocument/2006/relationships/hyperlink" Target="consultantplus://offline/ref=4C1B596C41DAE728B6828F837B4FF054A72F41E0418B27EF8885C4737FCDEAA26E078107B36253wBh9I" TargetMode="External"/><Relationship Id="rId228" Type="http://schemas.openxmlformats.org/officeDocument/2006/relationships/hyperlink" Target="consultantplus://offline/ref=4C1B596C41DAE728B6828F837B4FF054A62F42E74E8B27EF8885C4737FCDEAA26E078107B36252wBh0I" TargetMode="External"/><Relationship Id="rId244" Type="http://schemas.openxmlformats.org/officeDocument/2006/relationships/hyperlink" Target="consultantplus://offline/ref=4C1B596C41DAE728B6828F837B4FF054A62D40E24F8B27EF8885C4737FCDEAA26E078107B36252wBh0I" TargetMode="External"/><Relationship Id="rId13" Type="http://schemas.openxmlformats.org/officeDocument/2006/relationships/hyperlink" Target="consultantplus://offline/ref=4C1B596C41DAE728B69C82951712FA53AA704AE14B8677B6D7DE992476C7BDE5215EC343BE6352B9248Cw0h6I" TargetMode="External"/><Relationship Id="rId18" Type="http://schemas.openxmlformats.org/officeDocument/2006/relationships/hyperlink" Target="consultantplus://offline/ref=4C1B596C41DAE728B6828F837B4FF054A62945E34B8B27EF8885C473w7hFI" TargetMode="External"/><Relationship Id="rId39" Type="http://schemas.openxmlformats.org/officeDocument/2006/relationships/hyperlink" Target="consultantplus://offline/ref=4C1B596C41DAE728B6828F837B4FF054A5264FE1488B27EF8885C4737FCDEAA26E078107B36252wBh0I" TargetMode="External"/><Relationship Id="rId109" Type="http://schemas.openxmlformats.org/officeDocument/2006/relationships/hyperlink" Target="consultantplus://offline/ref=4C1B596C41DAE728B69C82951712FA53AA704AE04F8576B5D7DE992476C7BDE5215EC343BE6352B9248Cw0h6I" TargetMode="External"/><Relationship Id="rId34" Type="http://schemas.openxmlformats.org/officeDocument/2006/relationships/hyperlink" Target="consultantplus://offline/ref=4C1B596C41DAE728B6828F837B4FF054A62B43E74C8B27EF8885C4737FCDEAA26E078107B56B53wBhFI" TargetMode="External"/><Relationship Id="rId50" Type="http://schemas.openxmlformats.org/officeDocument/2006/relationships/hyperlink" Target="consultantplus://offline/ref=4C1B596C41DAE728B6828F837B4FF054A62B47EE4B8B27EF8885C4737FCDEAA26E078107B26A51wBh0I" TargetMode="External"/><Relationship Id="rId55" Type="http://schemas.openxmlformats.org/officeDocument/2006/relationships/hyperlink" Target="consultantplus://offline/ref=4C1B596C41DAE728B6828F837B4FF054A72741E44C8B27EF8885C4737FCDEAA26E078107B56650wBhAI" TargetMode="External"/><Relationship Id="rId76" Type="http://schemas.openxmlformats.org/officeDocument/2006/relationships/hyperlink" Target="consultantplus://offline/ref=4C1B596C41DAE728B6828F837B4FF054A62B47EE4B8B27EF8885C4737FCDEAA26E078107B26A56wBhCI" TargetMode="External"/><Relationship Id="rId97" Type="http://schemas.openxmlformats.org/officeDocument/2006/relationships/hyperlink" Target="consultantplus://offline/ref=4C1B596C41DAE728B6828F837B4FF054A62B4FE44E8B27EF8885C4737FCDEAA26E078107B36250wBhCI" TargetMode="External"/><Relationship Id="rId104" Type="http://schemas.openxmlformats.org/officeDocument/2006/relationships/hyperlink" Target="consultantplus://offline/ref=4C1B596C41DAE728B6828F837B4FF054A62E44E24E8B27EF8885C4737FCDEAA26E078107B36253wBhAI" TargetMode="External"/><Relationship Id="rId120" Type="http://schemas.openxmlformats.org/officeDocument/2006/relationships/hyperlink" Target="consultantplus://offline/ref=4C1B596C41DAE728B69C82951712FA53AA704AE04A8074BBD7DE992476C7BDE5215EC343BE6352BB2785w0hCI" TargetMode="External"/><Relationship Id="rId125" Type="http://schemas.openxmlformats.org/officeDocument/2006/relationships/image" Target="media/image2.png"/><Relationship Id="rId141" Type="http://schemas.openxmlformats.org/officeDocument/2006/relationships/hyperlink" Target="consultantplus://offline/ref=4C1B596C41DAE728B6828F837B4FF054A72846E54F8B27EF8885C473w7hFI" TargetMode="External"/><Relationship Id="rId146" Type="http://schemas.openxmlformats.org/officeDocument/2006/relationships/hyperlink" Target="consultantplus://offline/ref=4C1B596C41DAE728B6828F837B4FF054A62846E1408B27EF8885C4737FCDEAA26E078801B3w6h0I" TargetMode="External"/><Relationship Id="rId167" Type="http://schemas.openxmlformats.org/officeDocument/2006/relationships/image" Target="media/image20.png"/><Relationship Id="rId188" Type="http://schemas.openxmlformats.org/officeDocument/2006/relationships/hyperlink" Target="consultantplus://offline/ref=4C1B596C41DAE728B69C82951712FA53AA704AE14B8879B7D7DE992476C7BDE5215EC343BE6352B9248Cw0h7I" TargetMode="External"/><Relationship Id="rId7" Type="http://schemas.openxmlformats.org/officeDocument/2006/relationships/hyperlink" Target="consultantplus://offline/ref=4C1B596C41DAE728B69C82951712FA53AA704AE04F8676B1D7DE992476C7BDE5215EC343BE6352B9248Cw0h6I" TargetMode="External"/><Relationship Id="rId71" Type="http://schemas.openxmlformats.org/officeDocument/2006/relationships/hyperlink" Target="consultantplus://offline/ref=4C1B596C41DAE728B6828F837B4FF054A72D43E24F8B27EF8885C4737FCDEAA26E078107B36651wBhFI" TargetMode="External"/><Relationship Id="rId92" Type="http://schemas.openxmlformats.org/officeDocument/2006/relationships/hyperlink" Target="consultantplus://offline/ref=4C1B596C41DAE728B6828F837B4FF054A62D4FE1498B27EF8885C4737FCDEAA26E078107B36253wBhBI" TargetMode="External"/><Relationship Id="rId162" Type="http://schemas.openxmlformats.org/officeDocument/2006/relationships/hyperlink" Target="consultantplus://offline/ref=4C1B596C41DAE728B69C82951712FA53AA704AE14B8174B0D7DE992476C7BDE5215EC343BE6352B9248Cw0h6I" TargetMode="External"/><Relationship Id="rId183" Type="http://schemas.openxmlformats.org/officeDocument/2006/relationships/hyperlink" Target="consultantplus://offline/ref=4C1B596C41DAE728B69C82951712FA53AA704AE14B8873B0D7DE992476C7BDE5215EC343BE6352B9248Cw0h7I" TargetMode="External"/><Relationship Id="rId213" Type="http://schemas.openxmlformats.org/officeDocument/2006/relationships/hyperlink" Target="consultantplus://offline/ref=4C1B596C41DAE728B6828F837B4FF054A62D40E1498B27EF8885C4737FCDEAA26E078103B66Aw5h4I" TargetMode="External"/><Relationship Id="rId218" Type="http://schemas.openxmlformats.org/officeDocument/2006/relationships/hyperlink" Target="consultantplus://offline/ref=4C1B596C41DAE728B6828F837B4FF054A62E44E24E8B27EF8885C4737FCDEAA26E078107B36253wBhAI" TargetMode="External"/><Relationship Id="rId234" Type="http://schemas.openxmlformats.org/officeDocument/2006/relationships/hyperlink" Target="consultantplus://offline/ref=4C1B596C41DAE728B6828F837B4FF054A62847E54B8B27EF8885C4737FCDEAA26E07w8h4I" TargetMode="External"/><Relationship Id="rId239" Type="http://schemas.openxmlformats.org/officeDocument/2006/relationships/hyperlink" Target="consultantplus://offline/ref=4C1B596C41DAE728B6828F837B4FF054A62B4EE3408B27EF8885C4737FCDEAA26E078107B36252wBh0I" TargetMode="External"/><Relationship Id="rId2" Type="http://schemas.openxmlformats.org/officeDocument/2006/relationships/settings" Target="settings.xml"/><Relationship Id="rId29" Type="http://schemas.openxmlformats.org/officeDocument/2006/relationships/hyperlink" Target="consultantplus://offline/ref=4C1B596C41DAE728B6828F837B4FF054A72741E44C8B27EF8885C4737FCDEAA26E078107B56650wBhAI" TargetMode="External"/><Relationship Id="rId24" Type="http://schemas.openxmlformats.org/officeDocument/2006/relationships/hyperlink" Target="consultantplus://offline/ref=4C1B596C41DAE728B6828F837B4FF054A72C46EF488B27EF8885C4737FCDEAA26E078107B36253wBhFI" TargetMode="External"/><Relationship Id="rId40" Type="http://schemas.openxmlformats.org/officeDocument/2006/relationships/hyperlink" Target="consultantplus://offline/ref=4C1B596C41DAE728B6828F837B4FF054A22846E1488B27EF8885C4737FCDEAA26E078107B36253wBhAI" TargetMode="External"/><Relationship Id="rId45" Type="http://schemas.openxmlformats.org/officeDocument/2006/relationships/hyperlink" Target="consultantplus://offline/ref=4C1B596C41DAE728B6828F837B4FF054A22F43E2498B27EF8885C4737FCDEAA26E078107B36253wBhBI" TargetMode="External"/><Relationship Id="rId66" Type="http://schemas.openxmlformats.org/officeDocument/2006/relationships/hyperlink" Target="consultantplus://offline/ref=4C1B596C41DAE728B6828F837B4FF054A72741E44C8B27EF8885C4737FCDEAA26E078107B56650wBhAI" TargetMode="External"/><Relationship Id="rId87" Type="http://schemas.openxmlformats.org/officeDocument/2006/relationships/hyperlink" Target="consultantplus://offline/ref=4C1B596C41DAE728B6828F837B4FF054A62A44E3408B27EF8885C4737FCDEAA26E078107B36252wBh0I" TargetMode="External"/><Relationship Id="rId110" Type="http://schemas.openxmlformats.org/officeDocument/2006/relationships/hyperlink" Target="consultantplus://offline/ref=4C1B596C41DAE728B69C82951712FA53AA704AE04F8271BBD7DE992476C7BDE5215EC343BE6352B9248Cw0h8I" TargetMode="External"/><Relationship Id="rId115" Type="http://schemas.openxmlformats.org/officeDocument/2006/relationships/hyperlink" Target="consultantplus://offline/ref=4C1B596C41DAE728B6828F837B4FF054A62D45EF488B27EF8885C473w7hFI" TargetMode="External"/><Relationship Id="rId131" Type="http://schemas.openxmlformats.org/officeDocument/2006/relationships/image" Target="media/image8.wmf"/><Relationship Id="rId136" Type="http://schemas.openxmlformats.org/officeDocument/2006/relationships/image" Target="media/image13.wmf"/><Relationship Id="rId157" Type="http://schemas.openxmlformats.org/officeDocument/2006/relationships/hyperlink" Target="consultantplus://offline/ref=4C1B596C41DAE728B6828F837B4FF054A72C46E14F8B27EF8885C4737FCDEAA26E078107B36250wBh9I" TargetMode="External"/><Relationship Id="rId178" Type="http://schemas.openxmlformats.org/officeDocument/2006/relationships/hyperlink" Target="consultantplus://offline/ref=4C1B596C41DAE728B69C82951712FA53AA704AE14B8478B0D7DE992476C7BDE5215EC343BE6352B9248Cw0h6I" TargetMode="External"/><Relationship Id="rId61" Type="http://schemas.openxmlformats.org/officeDocument/2006/relationships/hyperlink" Target="consultantplus://offline/ref=4C1B596C41DAE728B6828F837B4FF054A72640E74E8B27EF8885C4737FCDEAA26E078107B36253wBhAI" TargetMode="External"/><Relationship Id="rId82" Type="http://schemas.openxmlformats.org/officeDocument/2006/relationships/hyperlink" Target="consultantplus://offline/ref=4C1B596C41DAE728B69C82951712FA53AA704AE44B8371B3D7DE992476C7BDwEh5I" TargetMode="External"/><Relationship Id="rId152" Type="http://schemas.openxmlformats.org/officeDocument/2006/relationships/hyperlink" Target="consultantplus://offline/ref=4C1B596C41DAE728B6828F837B4FF054A52A46EF498B27EF8885C473w7hFI" TargetMode="External"/><Relationship Id="rId173" Type="http://schemas.openxmlformats.org/officeDocument/2006/relationships/image" Target="media/image24.png"/><Relationship Id="rId194" Type="http://schemas.openxmlformats.org/officeDocument/2006/relationships/hyperlink" Target="consultantplus://offline/ref=4C1B596C41DAE728B6828F837B4FF054A7274EE74D8B27EF8885C4737FCDEAA26E078107B36252wBh0I" TargetMode="External"/><Relationship Id="rId199" Type="http://schemas.openxmlformats.org/officeDocument/2006/relationships/hyperlink" Target="consultantplus://offline/ref=4C1B596C41DAE728B6828F837B4FF054A62D4EE7488B27EF8885C4737FCDEAA26E078107B36252wBh0I" TargetMode="External"/><Relationship Id="rId203" Type="http://schemas.openxmlformats.org/officeDocument/2006/relationships/hyperlink" Target="consultantplus://offline/ref=4C1B596C41DAE728B6828F837B4FF054A62E45E44B8B27EF8885C4737FCDEAA26E078107B36B51wBhBI" TargetMode="External"/><Relationship Id="rId208" Type="http://schemas.openxmlformats.org/officeDocument/2006/relationships/hyperlink" Target="consultantplus://offline/ref=4C1B596C41DAE728B6828F837B4FF054A62D40E1498B27EF8885C4737FCDEAA26E078106B66Bw5hBI" TargetMode="External"/><Relationship Id="rId229" Type="http://schemas.openxmlformats.org/officeDocument/2006/relationships/hyperlink" Target="consultantplus://offline/ref=4C1B596C41DAE728B6828F837B4FF054A62F40E54B8B27EF8885C4737FCDEAA26E078107B36253wBh8I" TargetMode="External"/><Relationship Id="rId19" Type="http://schemas.openxmlformats.org/officeDocument/2006/relationships/hyperlink" Target="consultantplus://offline/ref=4C1B596C41DAE728B6828F837B4FF054A52A46EF498B27EF8885C473w7hFI" TargetMode="External"/><Relationship Id="rId224" Type="http://schemas.openxmlformats.org/officeDocument/2006/relationships/hyperlink" Target="consultantplus://offline/ref=4C1B596C41DAE728B6828F837B4FF054A62D45E0418B27EF8885C4737FCDEAA26E078107B36253wBh9I" TargetMode="External"/><Relationship Id="rId240" Type="http://schemas.openxmlformats.org/officeDocument/2006/relationships/hyperlink" Target="consultantplus://offline/ref=4C1B596C41DAE728B6828F837B4FF054A62D40E6418B27EF8885C4737FCDEAA26E078107B36253wBhAI" TargetMode="External"/><Relationship Id="rId245" Type="http://schemas.openxmlformats.org/officeDocument/2006/relationships/hyperlink" Target="consultantplus://offline/ref=4C1B596C41DAE728B6828F837B4FF054A62D41E44F8B27EF8885C4737FCDEAA26E078107B36253wBh9I" TargetMode="External"/><Relationship Id="rId14" Type="http://schemas.openxmlformats.org/officeDocument/2006/relationships/hyperlink" Target="consultantplus://offline/ref=4C1B596C41DAE728B69C82951712FA53AA704AE14B8677B6D7DE992476C7BDE5215EC343BE6352B92785w0h7I" TargetMode="External"/><Relationship Id="rId30" Type="http://schemas.openxmlformats.org/officeDocument/2006/relationships/hyperlink" Target="consultantplus://offline/ref=4C1B596C41DAE728B6828F837B4FF054A72741E44C8B27EF8885C4737FCDEAA26E078107B26757wBhFI" TargetMode="External"/><Relationship Id="rId35" Type="http://schemas.openxmlformats.org/officeDocument/2006/relationships/hyperlink" Target="consultantplus://offline/ref=4C1B596C41DAE728B6828F837B4FF054A42F41E24B8B27EF8885C4737FCDEAA26E078107B36253wBhCI" TargetMode="External"/><Relationship Id="rId56" Type="http://schemas.openxmlformats.org/officeDocument/2006/relationships/hyperlink" Target="consultantplus://offline/ref=4C1B596C41DAE728B6828F837B4FF054A72741E44C8B27EF8885C4737FCDEAA26E078107B26757wBhFI" TargetMode="External"/><Relationship Id="rId77" Type="http://schemas.openxmlformats.org/officeDocument/2006/relationships/hyperlink" Target="consultantplus://offline/ref=4C1B596C41DAE728B6828F837B4FF054A72D43E24F8B27EF8885C4737FCDEAA26E078107B36651wBhFI" TargetMode="External"/><Relationship Id="rId100" Type="http://schemas.openxmlformats.org/officeDocument/2006/relationships/hyperlink" Target="consultantplus://offline/ref=4C1B596C41DAE728B6828F837B4FF054A52C43E5408B27EF8885C4737FCDEAA26E078107B36252wBhFI" TargetMode="External"/><Relationship Id="rId105" Type="http://schemas.openxmlformats.org/officeDocument/2006/relationships/hyperlink" Target="consultantplus://offline/ref=4C1B596C41DAE728B6828F837B4FF054A62D45E0418B27EF8885C4737FCDEAA26E078107B36253wBh9I" TargetMode="External"/><Relationship Id="rId126" Type="http://schemas.openxmlformats.org/officeDocument/2006/relationships/image" Target="media/image3.png"/><Relationship Id="rId147" Type="http://schemas.openxmlformats.org/officeDocument/2006/relationships/hyperlink" Target="consultantplus://offline/ref=4C1B596C41DAE728B6828F837B4FF054A72842E34C8B27EF8885C4737FCDEAA26E078107B36253wBh9I" TargetMode="External"/><Relationship Id="rId168" Type="http://schemas.openxmlformats.org/officeDocument/2006/relationships/hyperlink" Target="consultantplus://offline/ref=4C1B596C41DAE728B69C82951712FA53AA704AE14B8174B0D7DE992476C7BDE5215EC343BE6352B9248Cw0h6I" TargetMode="External"/><Relationship Id="rId8" Type="http://schemas.openxmlformats.org/officeDocument/2006/relationships/hyperlink" Target="consultantplus://offline/ref=4C1B596C41DAE728B69C82951712FA53AA704AE14B8770BBD7DE992476C7BDwEh5I" TargetMode="External"/><Relationship Id="rId51" Type="http://schemas.openxmlformats.org/officeDocument/2006/relationships/hyperlink" Target="consultantplus://offline/ref=4C1B596C41DAE728B6828F837B4FF054A72741E44C8B27EF8885C4737FCDEAA26E078107B36256wBhDI" TargetMode="External"/><Relationship Id="rId72" Type="http://schemas.openxmlformats.org/officeDocument/2006/relationships/hyperlink" Target="consultantplus://offline/ref=4C1B596C41DAE728B6828F837B4FF054A72741E44C8B27EF8885C4737FCDEAA26E078107B56650wBhAI" TargetMode="External"/><Relationship Id="rId93" Type="http://schemas.openxmlformats.org/officeDocument/2006/relationships/hyperlink" Target="consultantplus://offline/ref=4C1B596C41DAE728B6828F837B4FF054A62A40E3408B27EF8885C4737FCDEAA26E078107B36253wBh9I" TargetMode="External"/><Relationship Id="rId98" Type="http://schemas.openxmlformats.org/officeDocument/2006/relationships/hyperlink" Target="consultantplus://offline/ref=4C1B596C41DAE728B6828F837B4FF054A72645E44E8B27EF8885C4737FCDEAA26E078107B36253wBh9I" TargetMode="External"/><Relationship Id="rId121" Type="http://schemas.openxmlformats.org/officeDocument/2006/relationships/hyperlink" Target="consultantplus://offline/ref=4C1B596C41DAE728B69C82951712FA53AA704AE14B8174B0D7DE992476C7BDE5215EC343BE6352B9248Cw0h6I" TargetMode="External"/><Relationship Id="rId142" Type="http://schemas.openxmlformats.org/officeDocument/2006/relationships/hyperlink" Target="consultantplus://offline/ref=4C1B596C41DAE728B6828F837B4FF054A72842E34C8B27EF8885C4737FCDEAA26E078107B36253wBh9I" TargetMode="External"/><Relationship Id="rId163" Type="http://schemas.openxmlformats.org/officeDocument/2006/relationships/hyperlink" Target="consultantplus://offline/ref=4C1B596C41DAE728B69C82951712FA53AA704AE14B8174B0D7DE992476C7BDE5215EC343BE6352B92D8Fw0h8I" TargetMode="External"/><Relationship Id="rId184" Type="http://schemas.openxmlformats.org/officeDocument/2006/relationships/image" Target="media/image29.png"/><Relationship Id="rId189" Type="http://schemas.openxmlformats.org/officeDocument/2006/relationships/hyperlink" Target="consultantplus://offline/ref=4C1B596C41DAE728B69C82951712FA53AA704AE14B8879B7D7DE992476C7BDwEh5I" TargetMode="External"/><Relationship Id="rId219" Type="http://schemas.openxmlformats.org/officeDocument/2006/relationships/hyperlink" Target="consultantplus://offline/ref=4C1B596C41DAE728B6828F837B4FF054A62D4FE1498B27EF8885C4737FCDEAA26E078107B36253wBhBI" TargetMode="External"/><Relationship Id="rId3" Type="http://schemas.openxmlformats.org/officeDocument/2006/relationships/webSettings" Target="webSettings.xml"/><Relationship Id="rId214" Type="http://schemas.openxmlformats.org/officeDocument/2006/relationships/hyperlink" Target="consultantplus://offline/ref=4C1B596C41DAE728B6828F837B4FF054A62D40E1498B27EF8885C4737FCDEAA26E078105B1665BwBh0I" TargetMode="External"/><Relationship Id="rId230" Type="http://schemas.openxmlformats.org/officeDocument/2006/relationships/hyperlink" Target="consultantplus://offline/ref=4C1B596C41DAE728B6828F837B4FF054A62A41EE4F8B27EF8885C4737FCDEAA26E078107B2675BwBhEI" TargetMode="External"/><Relationship Id="rId235" Type="http://schemas.openxmlformats.org/officeDocument/2006/relationships/hyperlink" Target="consultantplus://offline/ref=4C1B596C41DAE728B6828F837B4FF054A62D40E24E8B27EF8885C4737FCDEAA26E078107B36253wBh8I" TargetMode="External"/><Relationship Id="rId25" Type="http://schemas.openxmlformats.org/officeDocument/2006/relationships/hyperlink" Target="consultantplus://offline/ref=4C1B596C41DAE728B6828F837B4FF054A72743E0418B27EF8885C4737FCDEAA26E078107B76156wBhAI" TargetMode="External"/><Relationship Id="rId46" Type="http://schemas.openxmlformats.org/officeDocument/2006/relationships/hyperlink" Target="consultantplus://offline/ref=4C1B596C41DAE728B6828F837B4FF054A52C42E0498B27EF8885C4737FCDEAA26E078107B36252wBh0I" TargetMode="External"/><Relationship Id="rId67" Type="http://schemas.openxmlformats.org/officeDocument/2006/relationships/hyperlink" Target="consultantplus://offline/ref=4C1B596C41DAE728B6828F837B4FF054A72741E44C8B27EF8885C4737FCDEAA26E078107B26757wBhFI" TargetMode="External"/><Relationship Id="rId116" Type="http://schemas.openxmlformats.org/officeDocument/2006/relationships/hyperlink" Target="consultantplus://offline/ref=4C1B596C41DAE728B6828F837B4FF054A62D47E44B8B27EF8885C473w7hFI" TargetMode="External"/><Relationship Id="rId137" Type="http://schemas.openxmlformats.org/officeDocument/2006/relationships/image" Target="media/image14.wmf"/><Relationship Id="rId158" Type="http://schemas.openxmlformats.org/officeDocument/2006/relationships/image" Target="media/image17.png"/><Relationship Id="rId20" Type="http://schemas.openxmlformats.org/officeDocument/2006/relationships/hyperlink" Target="consultantplus://offline/ref=4C1B596C41DAE728B6828F837B4FF054A52A46EF498B27EF8885C473w7hFI" TargetMode="External"/><Relationship Id="rId41" Type="http://schemas.openxmlformats.org/officeDocument/2006/relationships/hyperlink" Target="consultantplus://offline/ref=4C1B596C41DAE728B6828F837B4FF054A72D43E24F8B27EF8885C4737FCDEAA26E078107B3665AwBhDI" TargetMode="External"/><Relationship Id="rId62" Type="http://schemas.openxmlformats.org/officeDocument/2006/relationships/hyperlink" Target="consultantplus://offline/ref=4C1B596C41DAE728B6828F837B4FF054A62C47E3498B27EF8885C4737FCDEAA26E078107B16450wBh9I" TargetMode="External"/><Relationship Id="rId83" Type="http://schemas.openxmlformats.org/officeDocument/2006/relationships/hyperlink" Target="consultantplus://offline/ref=4C1B596C41DAE728B69C82951712FA53AA704AE44B8371B3D7DE992476C7BDwEh5I" TargetMode="External"/><Relationship Id="rId88" Type="http://schemas.openxmlformats.org/officeDocument/2006/relationships/image" Target="media/image1.png"/><Relationship Id="rId111" Type="http://schemas.openxmlformats.org/officeDocument/2006/relationships/hyperlink" Target="consultantplus://offline/ref=4C1B596C41DAE728B69C82951712FA53AA704AE04F8576B5D7DE992476C7BDE5215EC343BE6352B9248Cw0h6I" TargetMode="External"/><Relationship Id="rId132" Type="http://schemas.openxmlformats.org/officeDocument/2006/relationships/image" Target="media/image9.wmf"/><Relationship Id="rId153" Type="http://schemas.openxmlformats.org/officeDocument/2006/relationships/hyperlink" Target="consultantplus://offline/ref=4C1B596C41DAE728B6828F837B4FF054A52A46EF498B27EF8885C473w7hFI" TargetMode="External"/><Relationship Id="rId174" Type="http://schemas.openxmlformats.org/officeDocument/2006/relationships/image" Target="media/image25.png"/><Relationship Id="rId179" Type="http://schemas.openxmlformats.org/officeDocument/2006/relationships/hyperlink" Target="consultantplus://offline/ref=4C1B596C41DAE728B69C82951712FA53AA704AE14B8478B0D7DE992476C7BDE5215EC343BE6352B9248Cw0h6I" TargetMode="External"/><Relationship Id="rId195" Type="http://schemas.openxmlformats.org/officeDocument/2006/relationships/hyperlink" Target="consultantplus://offline/ref=4C1B596C41DAE728B6828F837B4FF054A72647E0418B27EF8885C4737FCDEAA26E078107B36253wBhBI" TargetMode="External"/><Relationship Id="rId209" Type="http://schemas.openxmlformats.org/officeDocument/2006/relationships/hyperlink" Target="consultantplus://offline/ref=4C1B596C41DAE728B6828F837B4FF054A62D40E1498B27EF8885C4737FCDEAA26E078106BA61w5hBI" TargetMode="External"/><Relationship Id="rId190" Type="http://schemas.openxmlformats.org/officeDocument/2006/relationships/image" Target="media/image33.wmf"/><Relationship Id="rId204" Type="http://schemas.openxmlformats.org/officeDocument/2006/relationships/hyperlink" Target="consultantplus://offline/ref=4C1B596C41DAE728B6828F837B4FF054A62E45E44B8B27EF8885C4737FCDEAA26E078107B26452wBhDI" TargetMode="External"/><Relationship Id="rId220" Type="http://schemas.openxmlformats.org/officeDocument/2006/relationships/hyperlink" Target="consultantplus://offline/ref=4C1B596C41DAE728B6828F837B4FF054A62D4FE1498B27EF8885C4737FCDEAA26E078107B1605BwBhCI" TargetMode="External"/><Relationship Id="rId225" Type="http://schemas.openxmlformats.org/officeDocument/2006/relationships/hyperlink" Target="consultantplus://offline/ref=4C1B596C41DAE728B6828F837B4FF054A62B4FE74E8B27EF8885C4737FCDEAA26E078107B36253wBhAI" TargetMode="External"/><Relationship Id="rId241" Type="http://schemas.openxmlformats.org/officeDocument/2006/relationships/hyperlink" Target="consultantplus://offline/ref=4C1B596C41DAE728B6828F837B4FF054A62E4EE44C8B27EF8885C4737FCDEAA26E078107B36252wBh0I" TargetMode="External"/><Relationship Id="rId246" Type="http://schemas.openxmlformats.org/officeDocument/2006/relationships/hyperlink" Target="consultantplus://offline/ref=4C1B596C41DAE728B69C82951712FA53AA704AE1498679B5D7DE992476C7BDE5215EC343BE6352B9248Cw0h6I" TargetMode="External"/><Relationship Id="rId15" Type="http://schemas.openxmlformats.org/officeDocument/2006/relationships/hyperlink" Target="consultantplus://offline/ref=4C1B596C41DAE728B69C82951712FA53AA704AE14B8677B6D7DE992476C7BDE5215EC343BE6352B9228Cw0hDI" TargetMode="External"/><Relationship Id="rId36" Type="http://schemas.openxmlformats.org/officeDocument/2006/relationships/hyperlink" Target="consultantplus://offline/ref=4C1B596C41DAE728B6828F837B4FF054A42F41E24B8B27EF8885C4737FCDEAA26E078107B36251wBh9I" TargetMode="External"/><Relationship Id="rId57" Type="http://schemas.openxmlformats.org/officeDocument/2006/relationships/hyperlink" Target="consultantplus://offline/ref=4C1B596C41DAE728B6828F837B4FF054A62B47EE4B8B27EF8885C4737FCDEAA26E078107B26A51wBh0I" TargetMode="External"/><Relationship Id="rId106" Type="http://schemas.openxmlformats.org/officeDocument/2006/relationships/hyperlink" Target="consultantplus://offline/ref=4C1B596C41DAE728B69C82951712FA53AA704AE04E8072B4D7DE992476C7BDE5215EC343BE6357BC258Cw0hAI" TargetMode="External"/><Relationship Id="rId127" Type="http://schemas.openxmlformats.org/officeDocument/2006/relationships/image" Target="media/image4.png"/><Relationship Id="rId10" Type="http://schemas.openxmlformats.org/officeDocument/2006/relationships/hyperlink" Target="consultantplus://offline/ref=4C1B596C41DAE728B69C82951712FA53AA704AE24F8079BAD7DE992476C7BDE5215EC343BE6352B9248Dw0hCI" TargetMode="External"/><Relationship Id="rId31" Type="http://schemas.openxmlformats.org/officeDocument/2006/relationships/hyperlink" Target="consultantplus://offline/ref=4C1B596C41DAE728B6828F837B4FF054A42640EE4D8B27EF8885C4737FCDEAA26E078107B36257wBhFI" TargetMode="External"/><Relationship Id="rId52" Type="http://schemas.openxmlformats.org/officeDocument/2006/relationships/hyperlink" Target="consultantplus://offline/ref=4C1B596C41DAE728B6828F837B4FF054A62B47EE4B8B27EF8885C4737FCDEAA26E078107B26A56wBhCI" TargetMode="External"/><Relationship Id="rId73" Type="http://schemas.openxmlformats.org/officeDocument/2006/relationships/hyperlink" Target="consultantplus://offline/ref=4C1B596C41DAE728B6828F837B4FF054A72741E44C8B27EF8885C4737FCDEAA26E078107B26757wBhFI" TargetMode="External"/><Relationship Id="rId78" Type="http://schemas.openxmlformats.org/officeDocument/2006/relationships/hyperlink" Target="consultantplus://offline/ref=4C1B596C41DAE728B6828F837B4FF054A62B43E74C8B27EF8885C4737FCDEAA26E078107B56B53wBhFI" TargetMode="External"/><Relationship Id="rId94" Type="http://schemas.openxmlformats.org/officeDocument/2006/relationships/hyperlink" Target="consultantplus://offline/ref=4C1B596C41DAE728B6828F837B4FF054A62B4FE74E8B27EF8885C4737FCDEAA26E078107B36253wBhAI" TargetMode="External"/><Relationship Id="rId99" Type="http://schemas.openxmlformats.org/officeDocument/2006/relationships/hyperlink" Target="consultantplus://offline/ref=4C1B596C41DAE728B6828F837B4FF054A62D42E14D8B27EF8885C4737FCDEAA26E078107B4635BwBh8I" TargetMode="External"/><Relationship Id="rId101" Type="http://schemas.openxmlformats.org/officeDocument/2006/relationships/hyperlink" Target="consultantplus://offline/ref=4C1B596C41DAE728B6828F837B4FF054A7284EE5408B27EF8885C4737FCDEAA26E078107B36253wBhDI" TargetMode="External"/><Relationship Id="rId122" Type="http://schemas.openxmlformats.org/officeDocument/2006/relationships/hyperlink" Target="consultantplus://offline/ref=4C1B596C41DAE728B69C82951712FA53AA704AE14B8777B3D7DE992476C7BDE5215EC343BE6352B9248Cw0h6I" TargetMode="External"/><Relationship Id="rId143" Type="http://schemas.openxmlformats.org/officeDocument/2006/relationships/hyperlink" Target="consultantplus://offline/ref=4C1B596C41DAE728B6828F837B4FF054A62E44E24E8B27EF8885C4737FCDEAA26E078107B36253wBhAI" TargetMode="External"/><Relationship Id="rId148" Type="http://schemas.openxmlformats.org/officeDocument/2006/relationships/hyperlink" Target="consultantplus://offline/ref=4C1B596C41DAE728B6828F837B4FF054A62E44E24E8B27EF8885C4737FCDEAA26E078107B36253wBhAI" TargetMode="External"/><Relationship Id="rId164" Type="http://schemas.openxmlformats.org/officeDocument/2006/relationships/hyperlink" Target="consultantplus://offline/ref=4C1B596C41DAE728B69C82951712FA53AA704AE14B8174B0D7DE992476C7BDE5215EC343BE6352B9248Cw0h6I" TargetMode="External"/><Relationship Id="rId169" Type="http://schemas.openxmlformats.org/officeDocument/2006/relationships/hyperlink" Target="consultantplus://offline/ref=4C1B596C41DAE728B69C82951712FA53AA704AE14B8174B0D7DE992476C7BDE5215EC343BE6352B92D8Fw0h8I" TargetMode="External"/><Relationship Id="rId185" Type="http://schemas.openxmlformats.org/officeDocument/2006/relationships/image" Target="media/image30.png"/><Relationship Id="rId4" Type="http://schemas.openxmlformats.org/officeDocument/2006/relationships/hyperlink" Target="consultantplus://offline/ref=4C1B596C41DAE728B69C82951712FA53AA704AE0408476B7D7DE992476C7BDE5215EC343BE6352B9248Dw0hBI" TargetMode="External"/><Relationship Id="rId9" Type="http://schemas.openxmlformats.org/officeDocument/2006/relationships/hyperlink" Target="consultantplus://offline/ref=4C1B596C41DAE728B69C82951712FA53AA704AE04C8370B2D7DE992476C7BDwEh5I" TargetMode="External"/><Relationship Id="rId180" Type="http://schemas.openxmlformats.org/officeDocument/2006/relationships/image" Target="media/image28.png"/><Relationship Id="rId210" Type="http://schemas.openxmlformats.org/officeDocument/2006/relationships/hyperlink" Target="consultantplus://offline/ref=4C1B596C41DAE728B6828F837B4FF054A62D40E1498B27EF8885C4737FCDEAA26E078105B563w5h6I" TargetMode="External"/><Relationship Id="rId215" Type="http://schemas.openxmlformats.org/officeDocument/2006/relationships/hyperlink" Target="consultantplus://offline/ref=4C1B596C41DAE728B6828F837B4FF054A62D40E1498B27EF8885C4737FCDEAA26E078204B067w5h0I" TargetMode="External"/><Relationship Id="rId236" Type="http://schemas.openxmlformats.org/officeDocument/2006/relationships/hyperlink" Target="consultantplus://offline/ref=4C1B596C41DAE728B6828F837B4FF054A02D42E24C8B27EF8885C4737FCDEAA26E078107B36252wBh1I" TargetMode="External"/><Relationship Id="rId26" Type="http://schemas.openxmlformats.org/officeDocument/2006/relationships/hyperlink" Target="consultantplus://offline/ref=4C1B596C41DAE728B6828F837B4FF054A72743E0418B27EF8885C4737FCDEAA26E078107B36A57wBh0I" TargetMode="External"/><Relationship Id="rId231" Type="http://schemas.openxmlformats.org/officeDocument/2006/relationships/hyperlink" Target="consultantplus://offline/ref=4C1B596C41DAE728B6828F837B4FF054A62C4FE74F8B27EF8885C4737FCDEAA26E078302wBh0I" TargetMode="External"/><Relationship Id="rId47" Type="http://schemas.openxmlformats.org/officeDocument/2006/relationships/hyperlink" Target="consultantplus://offline/ref=4C1B596C41DAE728B6828F837B4FF054A72741E44D8B27EF8885C4737FCDEAA26E078107B36250wBh9I" TargetMode="External"/><Relationship Id="rId68" Type="http://schemas.openxmlformats.org/officeDocument/2006/relationships/hyperlink" Target="consultantplus://offline/ref=4C1B596C41DAE728B6828F837B4FF054A62B47EE4B8B27EF8885C4737FCDEAA26E078107B26A51wBh0I" TargetMode="External"/><Relationship Id="rId89" Type="http://schemas.openxmlformats.org/officeDocument/2006/relationships/hyperlink" Target="consultantplus://offline/ref=4C1B596C41DAE728B6828F837B4FF054A62E45E44B8B27EF8885C4737FCDEAA26E078107B36252wBh0I" TargetMode="External"/><Relationship Id="rId112" Type="http://schemas.openxmlformats.org/officeDocument/2006/relationships/hyperlink" Target="consultantplus://offline/ref=4C1B596C41DAE728B69C82951712FA53AA704AE04C8379B5D7DE992476C7BDE5215EC343BE6352B9248Cw0h6I" TargetMode="External"/><Relationship Id="rId133" Type="http://schemas.openxmlformats.org/officeDocument/2006/relationships/image" Target="media/image10.wmf"/><Relationship Id="rId154" Type="http://schemas.openxmlformats.org/officeDocument/2006/relationships/hyperlink" Target="consultantplus://offline/ref=4C1B596C41DAE728B6828F837B4FF054A52A46EF498B27EF8885C473w7hFI" TargetMode="External"/><Relationship Id="rId175" Type="http://schemas.openxmlformats.org/officeDocument/2006/relationships/image" Target="media/image26.png"/><Relationship Id="rId196" Type="http://schemas.openxmlformats.org/officeDocument/2006/relationships/hyperlink" Target="consultantplus://offline/ref=4C1B596C41DAE728B6828F837B4FF054A32E41E44E8B27EF8885C4737FCDEAA26E078107B36252wBh0I" TargetMode="External"/><Relationship Id="rId200" Type="http://schemas.openxmlformats.org/officeDocument/2006/relationships/hyperlink" Target="consultantplus://offline/ref=4C1B596C41DAE728B6828F837B4FF054A72744E44B8B27EF8885C4737FCDEAA26E078107B36252wBh0I" TargetMode="External"/><Relationship Id="rId16" Type="http://schemas.openxmlformats.org/officeDocument/2006/relationships/hyperlink" Target="consultantplus://offline/ref=4C1B596C41DAE728B69C82951712FA53AA704AE14B8677B6D7DE992476C7BDE5215EC343BE6353BA278Aw0hDI" TargetMode="External"/><Relationship Id="rId221" Type="http://schemas.openxmlformats.org/officeDocument/2006/relationships/hyperlink" Target="consultantplus://offline/ref=4C1B596C41DAE728B6828F837B4FF054A62D4FE1498B27EF8885C4737FCDEAA26E078107B36253wBhBI" TargetMode="External"/><Relationship Id="rId242" Type="http://schemas.openxmlformats.org/officeDocument/2006/relationships/hyperlink" Target="consultantplus://offline/ref=4C1B596C41DAE728B6828F837B4FF054A62B41E2408B27EF8885C4737FCDEAA26E078107B36253wBh9I" TargetMode="External"/><Relationship Id="rId37" Type="http://schemas.openxmlformats.org/officeDocument/2006/relationships/hyperlink" Target="consultantplus://offline/ref=4C1B596C41DAE728B6828F837B4FF054A62B43E74C8B27EF8885C4737FCDEAA26E078107B46251wBh0I" TargetMode="External"/><Relationship Id="rId58" Type="http://schemas.openxmlformats.org/officeDocument/2006/relationships/hyperlink" Target="consultantplus://offline/ref=4C1B596C41DAE728B6828F837B4FF054A72741E44C8B27EF8885C4737FCDEAA26E078107B26653wBhFI" TargetMode="External"/><Relationship Id="rId79" Type="http://schemas.openxmlformats.org/officeDocument/2006/relationships/hyperlink" Target="consultantplus://offline/ref=4C1B596C41DAE728B69C82951712FA53AA704AE14B8770BBD7DE992476C7BDE5215EC343BE6352B9248Cw0h6I" TargetMode="External"/><Relationship Id="rId102" Type="http://schemas.openxmlformats.org/officeDocument/2006/relationships/hyperlink" Target="consultantplus://offline/ref=4C1B596C41DAE728B6828F837B4FF054A52C43E5408B27EF8885C4737FCDEAA26E078107B36252wBhFI" TargetMode="External"/><Relationship Id="rId123" Type="http://schemas.openxmlformats.org/officeDocument/2006/relationships/hyperlink" Target="consultantplus://offline/ref=4C1B596C41DAE728B69C82951712FA53AA704AE0418574B1D7DE992476C7BDE5215EC343BE6352B9248Cw0h6I" TargetMode="External"/><Relationship Id="rId144" Type="http://schemas.openxmlformats.org/officeDocument/2006/relationships/hyperlink" Target="consultantplus://offline/ref=4C1B596C41DAE728B6828F837B4FF054A52846EF4C8B27EF8885C4737FCDEAA26E078107B36252wBh1I" TargetMode="External"/><Relationship Id="rId90" Type="http://schemas.openxmlformats.org/officeDocument/2006/relationships/hyperlink" Target="consultantplus://offline/ref=4C1B596C41DAE728B6828F837B4FF054A62D40E1498B27EF8885C4737FCDEAA26E078105B1665BwBh0I" TargetMode="External"/><Relationship Id="rId165" Type="http://schemas.openxmlformats.org/officeDocument/2006/relationships/hyperlink" Target="consultantplus://offline/ref=4C1B596C41DAE728B69C82951712FA53AA704AE14B8174B0D7DE992476C7BDE5215EC343BE6352B92D8Fw0h8I" TargetMode="External"/><Relationship Id="rId186" Type="http://schemas.openxmlformats.org/officeDocument/2006/relationships/image" Target="media/image31.png"/><Relationship Id="rId211" Type="http://schemas.openxmlformats.org/officeDocument/2006/relationships/hyperlink" Target="consultantplus://offline/ref=4C1B596C41DAE728B6828F837B4FF054A62D40E1498B27EF8885C4737FCDEAA26E078104B764w5h7I" TargetMode="External"/><Relationship Id="rId232" Type="http://schemas.openxmlformats.org/officeDocument/2006/relationships/hyperlink" Target="consultantplus://offline/ref=4C1B596C41DAE728B6828F837B4FF054A62C46E2418B27EF8885C4737FCDEAA26E078107B36253wBh9I" TargetMode="External"/><Relationship Id="rId27" Type="http://schemas.openxmlformats.org/officeDocument/2006/relationships/hyperlink" Target="consultantplus://offline/ref=4C1B596C41DAE728B6828F837B4FF054A72741E44C8B27EF8885C4737FCDEAA26E078107B56650wBhAI" TargetMode="External"/><Relationship Id="rId48" Type="http://schemas.openxmlformats.org/officeDocument/2006/relationships/hyperlink" Target="consultantplus://offline/ref=4C1B596C41DAE728B6828F837B4FF054A72741E44D8B27EF8885C4737FCDEAA26E078107B36156wBhAI" TargetMode="External"/><Relationship Id="rId69" Type="http://schemas.openxmlformats.org/officeDocument/2006/relationships/hyperlink" Target="consultantplus://offline/ref=4C1B596C41DAE728B6828F837B4FF054A72741E44C8B27EF8885C4737FCDEAA26E078107B26653wBhFI" TargetMode="External"/><Relationship Id="rId113" Type="http://schemas.openxmlformats.org/officeDocument/2006/relationships/hyperlink" Target="consultantplus://offline/ref=4C1B596C41DAE728B69C82951712FA53AA704AE04F8276B3D7DE992476C7BDE5215EC343BE6352B9248Cw0h8I" TargetMode="External"/><Relationship Id="rId134" Type="http://schemas.openxmlformats.org/officeDocument/2006/relationships/image" Target="media/image11.wmf"/><Relationship Id="rId80" Type="http://schemas.openxmlformats.org/officeDocument/2006/relationships/hyperlink" Target="consultantplus://offline/ref=4C1B596C41DAE728B6828F837B4FF054A62E42EE4D8B27EF8885C4737FCDEAA26E078107B36251wBhFI" TargetMode="External"/><Relationship Id="rId155" Type="http://schemas.openxmlformats.org/officeDocument/2006/relationships/hyperlink" Target="consultantplus://offline/ref=4C1B596C41DAE728B6828F837B4FF054A02E43EE4A8B27EF8885C4737FCDEAA26E078107B36252wBh0I" TargetMode="External"/><Relationship Id="rId176" Type="http://schemas.openxmlformats.org/officeDocument/2006/relationships/hyperlink" Target="consultantplus://offline/ref=4C1B596C41DAE728B69C82951712FA53AA704AE14B8677B6D7DE992476C7BDE5215EC343BE6352B9248Cw0h6I" TargetMode="External"/><Relationship Id="rId197" Type="http://schemas.openxmlformats.org/officeDocument/2006/relationships/hyperlink" Target="consultantplus://offline/ref=4C1B596C41DAE728B6828F837B4FF054A72C47E24E8B27EF8885C4737FCDEAA26E078107B36750wBh1I" TargetMode="External"/><Relationship Id="rId201" Type="http://schemas.openxmlformats.org/officeDocument/2006/relationships/hyperlink" Target="consultantplus://offline/ref=4C1B596C41DAE728B6828F837B4FF054A62E45E44B8B27EF8885C4737FCDEAA26E078107B36252wBh0I" TargetMode="External"/><Relationship Id="rId222" Type="http://schemas.openxmlformats.org/officeDocument/2006/relationships/hyperlink" Target="consultantplus://offline/ref=4C1B596C41DAE728B6828F837B4FF054A62A40E3408B27EF8885C4737FCDEAA26E078107B36253wBh9I" TargetMode="External"/><Relationship Id="rId243" Type="http://schemas.openxmlformats.org/officeDocument/2006/relationships/hyperlink" Target="consultantplus://offline/ref=4C1B596C41DAE728B6828F837B4FF054A62B4FE44E8B27EF8885C4737FCDEAA26E078107B36250wBhC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107156</Words>
  <Characters>610793</Characters>
  <Application>Microsoft Office Word</Application>
  <DocSecurity>0</DocSecurity>
  <Lines>5089</Lines>
  <Paragraphs>1433</Paragraphs>
  <ScaleCrop>false</ScaleCrop>
  <Company>Computer</Company>
  <LinksUpToDate>false</LinksUpToDate>
  <CharactersWithSpaces>716516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User</cp:lastModifiedBy>
  <cp:revision>2</cp:revision>
  <dcterms:created xsi:type="dcterms:W3CDTF">2015-04-13T11:24:00Z</dcterms:created>
  <dcterms:modified xsi:type="dcterms:W3CDTF">2015-04-13T11:24:00Z</dcterms:modified>
</cp:coreProperties>
</file>