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F1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67-07-09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в районе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М.Береснево</w:t>
            </w:r>
            <w:proofErr w:type="spellEnd"/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6C6D50">
                <w:rPr>
                  <w:rFonts w:ascii="Times New Roman" w:hAnsi="Times New Roman"/>
                  <w:sz w:val="24"/>
                  <w:szCs w:val="24"/>
                  <w:lang w:eastAsia="ru-RU"/>
                </w:rPr>
                <w:t>800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от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Береснево</w:t>
            </w:r>
            <w:proofErr w:type="spellEnd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направлению на юго-восток (55,3309 </w:t>
            </w:r>
            <w:proofErr w:type="spellStart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с.ш</w:t>
            </w:r>
            <w:proofErr w:type="spellEnd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.; 32,3326 </w:t>
            </w:r>
            <w:proofErr w:type="spellStart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6C6D50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3C3B70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7EF1" w:rsidRDefault="00347EF1" w:rsidP="00347EF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347EF1" w:rsidRPr="000C08CC" w:rsidRDefault="00347EF1" w:rsidP="00347EF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347EF1" w:rsidRPr="00DE7A79" w:rsidRDefault="00347EF1" w:rsidP="00347EF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E7A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E7A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DE7A7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DE7A7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DE7A7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2B1CE6" w:rsidRDefault="00347EF1" w:rsidP="00347EF1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3C3B70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347EF1" w:rsidRDefault="00347EF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377D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2B1CE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972201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-</w:t>
            </w:r>
          </w:p>
          <w:p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97220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9722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972201" w:rsidRDefault="00972201" w:rsidP="009722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:rsidR="002B1CE6" w:rsidRPr="00B94E64" w:rsidRDefault="00972201" w:rsidP="00972201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DE7A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границ земельного участка (межевание)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2B1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земли</w:t>
            </w:r>
            <w:r w:rsidR="00377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сельскохозяйственного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2B1C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2B1C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сельскохозяйственное производство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B1C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совхоз «Коммунар»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8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80 км</w:t>
              </w:r>
            </w:smartTag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 км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F92A4F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377D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2875" w:rsidRDefault="003C2875" w:rsidP="003C2875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2875" w:rsidRPr="00732341" w:rsidRDefault="003C2875" w:rsidP="003C2875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7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</w:t>
            </w:r>
            <w:r w:rsidR="007958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99712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287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100 м проходит железнодорожная ветка «Смоленск-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Сошно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A0166" w:rsidP="004A016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A0166" w:rsidP="004A01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A0166" w:rsidP="004A016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A0166" w:rsidP="004A016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4A0166" w:rsidP="004A016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A0166" w:rsidP="004A016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A016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4A016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4A016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050"/>
        <w:gridCol w:w="2510"/>
        <w:gridCol w:w="2720"/>
        <w:gridCol w:w="2777"/>
      </w:tblGrid>
      <w:tr w:rsidR="00B94E64" w:rsidRPr="00B94E64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C26DF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в.д</w:t>
            </w:r>
            <w:proofErr w:type="spellEnd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. ГРС «Духовщина»</w:t>
            </w:r>
            <w:r w:rsidR="0099712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Ерыши</w:t>
            </w:r>
            <w:proofErr w:type="spellEnd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РУ-0,6 Мпа, </w:t>
            </w:r>
            <w:proofErr w:type="spellStart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Дн</w:t>
            </w:r>
            <w:proofErr w:type="spellEnd"/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-152 мм. Срок подключения – 2 года с момента начала строительства. Ориентировочное ра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</w:t>
            </w: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стояние до границы земельного участка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15200</w:t>
            </w:r>
            <w:r w:rsidRPr="004861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C26DF9" w:rsidP="00C26DF9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–77,6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901C62" w:rsidRDefault="00DB5CC9" w:rsidP="00901C62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DF9" w:rsidRDefault="00C26DF9" w:rsidP="00C26DF9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:rsidR="00B94E64" w:rsidRPr="00B94E64" w:rsidRDefault="00C26DF9" w:rsidP="00C26DF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00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ED1622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861FA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1FA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ПС </w:t>
            </w:r>
            <w:proofErr w:type="spellStart"/>
            <w:r w:rsidRPr="004861FA">
              <w:rPr>
                <w:rFonts w:ascii="Times New Roman" w:hAnsi="Times New Roman" w:cs="Times New Roman"/>
                <w:sz w:val="24"/>
                <w:szCs w:val="24"/>
              </w:rPr>
              <w:t>Береснево</w:t>
            </w:r>
            <w:proofErr w:type="spellEnd"/>
            <w:r w:rsidRPr="004861FA">
              <w:rPr>
                <w:rFonts w:ascii="Times New Roman" w:hAnsi="Times New Roman" w:cs="Times New Roman"/>
                <w:sz w:val="24"/>
                <w:szCs w:val="24"/>
              </w:rPr>
              <w:t xml:space="preserve"> 35/10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61FA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4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22" w:rsidRPr="00D956BB" w:rsidRDefault="00ED1622" w:rsidP="00ED162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мощности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МВА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DB5CC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622" w:rsidRDefault="00ED1622" w:rsidP="00ED1622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:rsidR="00B94E64" w:rsidRPr="00B94E64" w:rsidRDefault="00ED1622" w:rsidP="00ED162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621" w:rsidRPr="00D956BB" w:rsidRDefault="00BA0621" w:rsidP="00BA0621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 км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М.Береснево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E64" w:rsidRPr="00B94E64" w:rsidRDefault="00BA0621" w:rsidP="00BA0621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0621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DB5CC9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621" w:rsidRDefault="00BA0621" w:rsidP="00BA062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BA0621" w:rsidRDefault="00BA0621" w:rsidP="00BA062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0621" w:rsidRPr="00737AB4" w:rsidRDefault="00BA0621" w:rsidP="00BA0621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A0621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621" w:rsidRDefault="00BA0621" w:rsidP="00BA062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BA0621" w:rsidRDefault="00BA0621" w:rsidP="00BA062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A0621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A0621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A0621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81199" w:rsidP="00D81199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 w:rsidR="007A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3B7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7A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3C3B70" w:rsidP="00B53AC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30831</w:t>
            </w:r>
            <w:bookmarkStart w:id="0" w:name="_GoBack"/>
            <w:bookmarkEnd w:id="0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3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4B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36" w:rsidRDefault="00E26036" w:rsidP="00617A2D">
      <w:r>
        <w:separator/>
      </w:r>
    </w:p>
  </w:endnote>
  <w:endnote w:type="continuationSeparator" w:id="0">
    <w:p w:rsidR="00E26036" w:rsidRDefault="00E26036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36" w:rsidRDefault="00E26036" w:rsidP="00617A2D">
      <w:r>
        <w:separator/>
      </w:r>
    </w:p>
  </w:footnote>
  <w:footnote w:type="continuationSeparator" w:id="0">
    <w:p w:rsidR="00E26036" w:rsidRDefault="00E26036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3B70">
          <w:rPr>
            <w:noProof/>
          </w:rPr>
          <w:t>5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A5FB3"/>
    <w:rsid w:val="0012360E"/>
    <w:rsid w:val="001C2C4F"/>
    <w:rsid w:val="001C77D0"/>
    <w:rsid w:val="001D757E"/>
    <w:rsid w:val="0022555D"/>
    <w:rsid w:val="002265F0"/>
    <w:rsid w:val="00234547"/>
    <w:rsid w:val="00243731"/>
    <w:rsid w:val="002A7455"/>
    <w:rsid w:val="002B1CE6"/>
    <w:rsid w:val="002E3AAF"/>
    <w:rsid w:val="00300D53"/>
    <w:rsid w:val="00302FA4"/>
    <w:rsid w:val="00347EF1"/>
    <w:rsid w:val="003619E7"/>
    <w:rsid w:val="00377D96"/>
    <w:rsid w:val="00386DC6"/>
    <w:rsid w:val="003C1109"/>
    <w:rsid w:val="003C2875"/>
    <w:rsid w:val="003C3B70"/>
    <w:rsid w:val="003E7BEB"/>
    <w:rsid w:val="003F4985"/>
    <w:rsid w:val="00406A7D"/>
    <w:rsid w:val="00426045"/>
    <w:rsid w:val="004A0166"/>
    <w:rsid w:val="004B00E3"/>
    <w:rsid w:val="005003D7"/>
    <w:rsid w:val="00617A2D"/>
    <w:rsid w:val="00622E32"/>
    <w:rsid w:val="006C6E5F"/>
    <w:rsid w:val="007122CA"/>
    <w:rsid w:val="0078416A"/>
    <w:rsid w:val="00785C4E"/>
    <w:rsid w:val="0079586B"/>
    <w:rsid w:val="007A54C5"/>
    <w:rsid w:val="007F0BC1"/>
    <w:rsid w:val="007F19F6"/>
    <w:rsid w:val="007F506F"/>
    <w:rsid w:val="00875298"/>
    <w:rsid w:val="008B5714"/>
    <w:rsid w:val="008D20E3"/>
    <w:rsid w:val="008D3252"/>
    <w:rsid w:val="00901C62"/>
    <w:rsid w:val="0093121E"/>
    <w:rsid w:val="0095189F"/>
    <w:rsid w:val="00960E43"/>
    <w:rsid w:val="00972201"/>
    <w:rsid w:val="009926FE"/>
    <w:rsid w:val="009938E1"/>
    <w:rsid w:val="00997122"/>
    <w:rsid w:val="009D1154"/>
    <w:rsid w:val="009D7428"/>
    <w:rsid w:val="00A21335"/>
    <w:rsid w:val="00A51CE4"/>
    <w:rsid w:val="00A84271"/>
    <w:rsid w:val="00A8561D"/>
    <w:rsid w:val="00AB2B54"/>
    <w:rsid w:val="00B53ACA"/>
    <w:rsid w:val="00B6191F"/>
    <w:rsid w:val="00B65820"/>
    <w:rsid w:val="00B94E64"/>
    <w:rsid w:val="00B9508C"/>
    <w:rsid w:val="00BA0621"/>
    <w:rsid w:val="00C26DF9"/>
    <w:rsid w:val="00C56566"/>
    <w:rsid w:val="00CB4B63"/>
    <w:rsid w:val="00CC5345"/>
    <w:rsid w:val="00D67F9E"/>
    <w:rsid w:val="00D81199"/>
    <w:rsid w:val="00DB5CC9"/>
    <w:rsid w:val="00DE7A79"/>
    <w:rsid w:val="00E26036"/>
    <w:rsid w:val="00ED1622"/>
    <w:rsid w:val="00ED4932"/>
    <w:rsid w:val="00F16EEB"/>
    <w:rsid w:val="00F610ED"/>
    <w:rsid w:val="00F76DED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B1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3BED-25AA-4AAE-9212-7024B3F7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24</cp:revision>
  <cp:lastPrinted>2022-07-19T11:09:00Z</cp:lastPrinted>
  <dcterms:created xsi:type="dcterms:W3CDTF">2023-04-20T10:08:00Z</dcterms:created>
  <dcterms:modified xsi:type="dcterms:W3CDTF">2025-07-17T12:37:00Z</dcterms:modified>
</cp:coreProperties>
</file>